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CE9D7" w14:textId="77777777" w:rsidR="00556AF9" w:rsidRDefault="00556AF9" w:rsidP="00556AF9">
      <w:pPr>
        <w:pStyle w:val="CaseCaption"/>
      </w:pPr>
      <w:bookmarkStart w:id="0" w:name="CaseType"/>
      <w:r>
        <w:t>SOAH Docket no. 473-24-13127.WS</w:t>
      </w:r>
    </w:p>
    <w:p w14:paraId="0DC3ADF5" w14:textId="77777777" w:rsidR="00556AF9" w:rsidRPr="00564268" w:rsidRDefault="00556AF9" w:rsidP="00556AF9">
      <w:pPr>
        <w:pStyle w:val="CaseCaption"/>
        <w:rPr>
          <w:bCs/>
          <w:color w:val="000000" w:themeColor="text1"/>
        </w:rPr>
      </w:pPr>
      <w:r>
        <w:t xml:space="preserve">PUC </w:t>
      </w:r>
      <w:r w:rsidRPr="00EF7381">
        <w:t>Docket</w:t>
      </w:r>
      <w:r w:rsidRPr="00D92C94">
        <w:t xml:space="preserve"> No</w:t>
      </w:r>
      <w:r w:rsidRPr="008647EB">
        <w:t>.</w:t>
      </w:r>
      <w:bookmarkStart w:id="1" w:name="DocNo"/>
      <w:r>
        <w:t xml:space="preserve"> 54617 </w:t>
      </w:r>
      <w:bookmarkEnd w:id="0"/>
      <w:bookmarkEnd w:id="1"/>
    </w:p>
    <w:tbl>
      <w:tblPr>
        <w:tblW w:w="0" w:type="auto"/>
        <w:tblLook w:val="01E0" w:firstRow="1" w:lastRow="1" w:firstColumn="1" w:lastColumn="1" w:noHBand="0" w:noVBand="0"/>
        <w:tblCaption w:val="Case Caption"/>
      </w:tblPr>
      <w:tblGrid>
        <w:gridCol w:w="4826"/>
        <w:gridCol w:w="336"/>
        <w:gridCol w:w="4198"/>
      </w:tblGrid>
      <w:tr w:rsidR="00556AF9" w:rsidRPr="008647EB" w14:paraId="21367EBF" w14:textId="77777777" w:rsidTr="00254B39">
        <w:trPr>
          <w:trHeight w:val="576"/>
        </w:trPr>
        <w:tc>
          <w:tcPr>
            <w:tcW w:w="4826" w:type="dxa"/>
          </w:tcPr>
          <w:bookmarkStart w:id="2" w:name="DocumentStyle"/>
          <w:p w14:paraId="26F5431B" w14:textId="77777777" w:rsidR="00556AF9" w:rsidRPr="00E710D3" w:rsidRDefault="002678CA" w:rsidP="00254B39">
            <w:pPr>
              <w:jc w:val="left"/>
              <w:rPr>
                <w:b/>
              </w:rPr>
            </w:pPr>
            <w:sdt>
              <w:sdtPr>
                <w:rPr>
                  <w:b/>
                  <w:caps/>
                </w:rPr>
                <w:alias w:val="Case Style"/>
                <w:tag w:val="CS"/>
                <w:id w:val="-920102863"/>
                <w:placeholder>
                  <w:docPart w:val="7465182F7A124290A17A5A9F322B0D36"/>
                </w:placeholder>
                <w15:appearance w15:val="hidden"/>
              </w:sdtPr>
              <w:sdtEndPr/>
              <w:sdtContent>
                <w:r w:rsidR="00556AF9">
                  <w:rPr>
                    <w:b/>
                    <w:caps/>
                  </w:rPr>
                  <w:t>APPLICATION OF TEXAS WATER UTILITIES, LP AND SOUTHERN HORIZONS DEVELOPMENT, INC. FOR SALE, TRANSFER, OR MERGER OF FACILITIES AND CERTIFICATE RIGHTS IN LIBERTY AND MONTGOMERY COUNTIES</w:t>
                </w:r>
              </w:sdtContent>
            </w:sdt>
            <w:bookmarkEnd w:id="2"/>
            <w:r w:rsidR="00556AF9">
              <w:rPr>
                <w:b/>
                <w:caps/>
              </w:rPr>
              <w:t xml:space="preserve"> </w:t>
            </w:r>
          </w:p>
        </w:tc>
        <w:tc>
          <w:tcPr>
            <w:tcW w:w="336" w:type="dxa"/>
            <w:noWrap/>
          </w:tcPr>
          <w:p w14:paraId="2A1C3801" w14:textId="77777777" w:rsidR="00556AF9" w:rsidRDefault="00556AF9" w:rsidP="00254B39">
            <w:pPr>
              <w:rPr>
                <w:b/>
              </w:rPr>
            </w:pPr>
            <w:r>
              <w:rPr>
                <w:b/>
              </w:rPr>
              <w:t>§</w:t>
            </w:r>
          </w:p>
          <w:p w14:paraId="179D45FF" w14:textId="77777777" w:rsidR="00556AF9" w:rsidRDefault="00556AF9" w:rsidP="00254B39">
            <w:pPr>
              <w:rPr>
                <w:b/>
              </w:rPr>
            </w:pPr>
            <w:r>
              <w:rPr>
                <w:b/>
              </w:rPr>
              <w:t>§</w:t>
            </w:r>
          </w:p>
          <w:p w14:paraId="079313FE" w14:textId="77777777" w:rsidR="00556AF9" w:rsidRDefault="00556AF9" w:rsidP="00254B39">
            <w:pPr>
              <w:rPr>
                <w:b/>
              </w:rPr>
            </w:pPr>
            <w:r>
              <w:rPr>
                <w:b/>
              </w:rPr>
              <w:t>§</w:t>
            </w:r>
          </w:p>
          <w:p w14:paraId="3072AE46" w14:textId="77777777" w:rsidR="00556AF9" w:rsidRDefault="00556AF9" w:rsidP="00254B39">
            <w:pPr>
              <w:rPr>
                <w:b/>
              </w:rPr>
            </w:pPr>
            <w:r>
              <w:rPr>
                <w:b/>
              </w:rPr>
              <w:t>§</w:t>
            </w:r>
          </w:p>
          <w:p w14:paraId="3A947358" w14:textId="77777777" w:rsidR="00556AF9" w:rsidRDefault="00556AF9" w:rsidP="00254B39">
            <w:pPr>
              <w:rPr>
                <w:b/>
              </w:rPr>
            </w:pPr>
            <w:r>
              <w:rPr>
                <w:b/>
              </w:rPr>
              <w:t>§</w:t>
            </w:r>
          </w:p>
          <w:p w14:paraId="6C19CE7C" w14:textId="77777777" w:rsidR="00556AF9" w:rsidRDefault="00556AF9" w:rsidP="00254B39">
            <w:pPr>
              <w:rPr>
                <w:b/>
              </w:rPr>
            </w:pPr>
            <w:r>
              <w:rPr>
                <w:b/>
              </w:rPr>
              <w:t>§</w:t>
            </w:r>
          </w:p>
          <w:p w14:paraId="35134AE2" w14:textId="77777777" w:rsidR="00556AF9" w:rsidRPr="008647EB" w:rsidRDefault="00556AF9" w:rsidP="00254B39">
            <w:pPr>
              <w:rPr>
                <w:b/>
              </w:rPr>
            </w:pPr>
            <w:r>
              <w:rPr>
                <w:b/>
              </w:rPr>
              <w:t>§</w:t>
            </w:r>
          </w:p>
        </w:tc>
        <w:tc>
          <w:tcPr>
            <w:tcW w:w="4198" w:type="dxa"/>
          </w:tcPr>
          <w:p w14:paraId="402C7FDE" w14:textId="77777777" w:rsidR="00556AF9" w:rsidRPr="008647EB" w:rsidRDefault="00556AF9" w:rsidP="00254B39">
            <w:pPr>
              <w:tabs>
                <w:tab w:val="center" w:pos="4770"/>
                <w:tab w:val="left" w:pos="5400"/>
              </w:tabs>
              <w:jc w:val="center"/>
              <w:rPr>
                <w:b/>
                <w:bCs/>
                <w:caps/>
              </w:rPr>
            </w:pPr>
            <w:r w:rsidRPr="008647EB">
              <w:rPr>
                <w:b/>
                <w:bCs/>
                <w:caps/>
              </w:rPr>
              <w:t>PUBLIC UTILITY COMMISSION</w:t>
            </w:r>
          </w:p>
          <w:p w14:paraId="0632313B" w14:textId="77777777" w:rsidR="00556AF9" w:rsidRPr="008647EB" w:rsidRDefault="00556AF9" w:rsidP="00254B39">
            <w:pPr>
              <w:tabs>
                <w:tab w:val="center" w:pos="4770"/>
                <w:tab w:val="left" w:pos="5400"/>
              </w:tabs>
              <w:jc w:val="center"/>
              <w:rPr>
                <w:b/>
                <w:bCs/>
                <w:caps/>
              </w:rPr>
            </w:pPr>
          </w:p>
          <w:p w14:paraId="4E976625" w14:textId="77777777" w:rsidR="00556AF9" w:rsidRPr="008647EB" w:rsidRDefault="00556AF9" w:rsidP="00254B39">
            <w:pPr>
              <w:tabs>
                <w:tab w:val="center" w:pos="4770"/>
                <w:tab w:val="left" w:pos="5400"/>
              </w:tabs>
              <w:jc w:val="center"/>
              <w:rPr>
                <w:b/>
                <w:bCs/>
                <w:caps/>
              </w:rPr>
            </w:pPr>
            <w:r w:rsidRPr="008647EB">
              <w:rPr>
                <w:b/>
                <w:bCs/>
                <w:caps/>
              </w:rPr>
              <w:t>OF TEXAS</w:t>
            </w:r>
          </w:p>
        </w:tc>
      </w:tr>
    </w:tbl>
    <w:p w14:paraId="42A92F0B" w14:textId="77777777" w:rsidR="00556AF9" w:rsidRDefault="00556AF9" w:rsidP="00556AF9"/>
    <w:p w14:paraId="6F7E81AD" w14:textId="77777777" w:rsidR="00556AF9" w:rsidRDefault="00556AF9" w:rsidP="00556AF9"/>
    <w:p w14:paraId="6341AB07" w14:textId="2610979F" w:rsidR="00556AF9" w:rsidRPr="003D2210" w:rsidRDefault="00556AF9" w:rsidP="00556AF9">
      <w:pPr>
        <w:pStyle w:val="Paragraph"/>
        <w:ind w:firstLine="0"/>
        <w:jc w:val="center"/>
        <w:rPr>
          <w:b/>
          <w:bCs/>
          <w:iCs/>
        </w:rPr>
      </w:pPr>
      <w:r w:rsidRPr="003D2210">
        <w:rPr>
          <w:b/>
          <w:bCs/>
          <w:iCs/>
        </w:rPr>
        <w:t xml:space="preserve">COMMISSION STAFF’S </w:t>
      </w:r>
      <w:r>
        <w:rPr>
          <w:b/>
          <w:bCs/>
          <w:iCs/>
        </w:rPr>
        <w:t>REPLY</w:t>
      </w:r>
      <w:r w:rsidRPr="003D2210">
        <w:rPr>
          <w:b/>
          <w:bCs/>
          <w:iCs/>
        </w:rPr>
        <w:t xml:space="preserve"> BRIEF</w:t>
      </w:r>
    </w:p>
    <w:p w14:paraId="694B1C02" w14:textId="77777777" w:rsidR="00556AF9" w:rsidRDefault="00556AF9" w:rsidP="00556AF9">
      <w:pPr>
        <w:jc w:val="left"/>
        <w:rPr>
          <w:bCs/>
        </w:rPr>
      </w:pPr>
    </w:p>
    <w:p w14:paraId="017E6B39" w14:textId="77777777" w:rsidR="00556AF9" w:rsidRDefault="00556AF9" w:rsidP="00556AF9">
      <w:pPr>
        <w:jc w:val="left"/>
        <w:rPr>
          <w:bCs/>
        </w:rPr>
      </w:pPr>
    </w:p>
    <w:p w14:paraId="69E40BCC" w14:textId="71DE5731" w:rsidR="00556AF9" w:rsidRPr="000612C6" w:rsidRDefault="00556AF9" w:rsidP="00556AF9">
      <w:pPr>
        <w:jc w:val="left"/>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2678CA">
        <w:rPr>
          <w:bCs/>
          <w:noProof/>
        </w:rPr>
        <w:t>August 23, 2024</w:t>
      </w:r>
      <w:r w:rsidRPr="000612C6">
        <w:rPr>
          <w:bCs/>
        </w:rPr>
        <w:fldChar w:fldCharType="end"/>
      </w:r>
    </w:p>
    <w:p w14:paraId="6CA583C0" w14:textId="77777777" w:rsidR="00556AF9" w:rsidRPr="000612C6" w:rsidRDefault="00556AF9" w:rsidP="00556AF9">
      <w:pPr>
        <w:rPr>
          <w:bCs/>
        </w:rPr>
      </w:pPr>
    </w:p>
    <w:p w14:paraId="24BC3E9C" w14:textId="77777777" w:rsidR="00556AF9" w:rsidRDefault="00556AF9" w:rsidP="00556AF9">
      <w:pPr>
        <w:ind w:left="4320"/>
      </w:pPr>
      <w:r>
        <w:t>Respectfully submitted,</w:t>
      </w:r>
    </w:p>
    <w:p w14:paraId="64BAA2D6" w14:textId="77777777" w:rsidR="00556AF9" w:rsidRDefault="00556AF9" w:rsidP="00556AF9">
      <w:pPr>
        <w:ind w:left="4320"/>
      </w:pPr>
    </w:p>
    <w:p w14:paraId="6705E679" w14:textId="77777777" w:rsidR="00556AF9" w:rsidRDefault="00556AF9" w:rsidP="00556AF9">
      <w:pPr>
        <w:ind w:left="4320"/>
        <w:rPr>
          <w:b/>
        </w:rPr>
      </w:pPr>
      <w:r>
        <w:rPr>
          <w:b/>
        </w:rPr>
        <w:t>PUBLIC UTILITY COMMISSION OF TEXAS</w:t>
      </w:r>
    </w:p>
    <w:p w14:paraId="68679E06" w14:textId="77777777" w:rsidR="00556AF9" w:rsidRDefault="00556AF9" w:rsidP="00556AF9">
      <w:pPr>
        <w:ind w:left="4320"/>
        <w:rPr>
          <w:b/>
        </w:rPr>
      </w:pPr>
      <w:r>
        <w:rPr>
          <w:b/>
        </w:rPr>
        <w:t>LEGAL DIVISION</w:t>
      </w:r>
    </w:p>
    <w:p w14:paraId="6A2645DC" w14:textId="77777777" w:rsidR="00556AF9" w:rsidRDefault="00556AF9" w:rsidP="00556AF9">
      <w:pPr>
        <w:ind w:left="4320"/>
        <w:rPr>
          <w:b/>
        </w:rPr>
      </w:pPr>
    </w:p>
    <w:p w14:paraId="59530886" w14:textId="77777777" w:rsidR="00556AF9" w:rsidRPr="00BF12B1" w:rsidRDefault="00556AF9" w:rsidP="00556AF9">
      <w:pPr>
        <w:overflowPunct w:val="0"/>
        <w:autoSpaceDE w:val="0"/>
        <w:autoSpaceDN w:val="0"/>
        <w:adjustRightInd w:val="0"/>
        <w:ind w:left="4320"/>
        <w:jc w:val="left"/>
        <w:textAlignment w:val="baseline"/>
      </w:pPr>
      <w:r>
        <w:t>Marisa Lopez Wagley</w:t>
      </w:r>
    </w:p>
    <w:p w14:paraId="617AE354" w14:textId="77777777" w:rsidR="00556AF9" w:rsidRPr="00BF12B1" w:rsidRDefault="00556AF9" w:rsidP="00556AF9">
      <w:pPr>
        <w:ind w:left="4320"/>
        <w:jc w:val="left"/>
      </w:pPr>
      <w:r w:rsidRPr="00BF12B1">
        <w:t xml:space="preserve">Division Director </w:t>
      </w:r>
    </w:p>
    <w:p w14:paraId="427007E0" w14:textId="77777777" w:rsidR="00556AF9" w:rsidRPr="00BF12B1" w:rsidRDefault="00556AF9" w:rsidP="00556AF9">
      <w:pPr>
        <w:ind w:left="4320"/>
        <w:jc w:val="left"/>
      </w:pPr>
    </w:p>
    <w:p w14:paraId="5EEAE79A" w14:textId="77777777" w:rsidR="00556AF9" w:rsidRPr="00350B98" w:rsidRDefault="00556AF9" w:rsidP="00556AF9">
      <w:pPr>
        <w:overflowPunct w:val="0"/>
        <w:autoSpaceDE w:val="0"/>
        <w:autoSpaceDN w:val="0"/>
        <w:adjustRightInd w:val="0"/>
        <w:ind w:left="4320"/>
        <w:jc w:val="left"/>
        <w:textAlignment w:val="baseline"/>
      </w:pPr>
      <w:r>
        <w:t>Phillip Lehmann</w:t>
      </w:r>
    </w:p>
    <w:p w14:paraId="74C3E6DE" w14:textId="77777777" w:rsidR="00556AF9" w:rsidRPr="00350B98" w:rsidRDefault="00556AF9" w:rsidP="00556AF9">
      <w:pPr>
        <w:overflowPunct w:val="0"/>
        <w:autoSpaceDE w:val="0"/>
        <w:autoSpaceDN w:val="0"/>
        <w:adjustRightInd w:val="0"/>
        <w:ind w:left="4320"/>
        <w:jc w:val="left"/>
        <w:textAlignment w:val="baseline"/>
      </w:pPr>
      <w:r w:rsidRPr="00350B98">
        <w:t>Managing Attorney</w:t>
      </w:r>
    </w:p>
    <w:p w14:paraId="1A7CD061" w14:textId="77777777" w:rsidR="00556AF9" w:rsidRPr="00350B98" w:rsidRDefault="00556AF9" w:rsidP="00556AF9">
      <w:pPr>
        <w:overflowPunct w:val="0"/>
        <w:autoSpaceDE w:val="0"/>
        <w:autoSpaceDN w:val="0"/>
        <w:adjustRightInd w:val="0"/>
        <w:ind w:left="4320"/>
        <w:jc w:val="left"/>
        <w:textAlignment w:val="baseline"/>
      </w:pPr>
    </w:p>
    <w:p w14:paraId="4152EB49" w14:textId="77777777" w:rsidR="00556AF9" w:rsidRPr="00350B98" w:rsidRDefault="00556AF9" w:rsidP="00556AF9">
      <w:pPr>
        <w:overflowPunct w:val="0"/>
        <w:autoSpaceDE w:val="0"/>
        <w:autoSpaceDN w:val="0"/>
        <w:adjustRightInd w:val="0"/>
        <w:ind w:left="4320"/>
        <w:jc w:val="left"/>
        <w:textAlignment w:val="baseline"/>
      </w:pPr>
    </w:p>
    <w:p w14:paraId="25192564" w14:textId="77777777" w:rsidR="00556AF9" w:rsidRPr="00350B98" w:rsidRDefault="00556AF9" w:rsidP="00556AF9">
      <w:pPr>
        <w:overflowPunct w:val="0"/>
        <w:autoSpaceDE w:val="0"/>
        <w:autoSpaceDN w:val="0"/>
        <w:adjustRightInd w:val="0"/>
        <w:ind w:left="4320"/>
        <w:jc w:val="left"/>
        <w:textAlignment w:val="baseline"/>
        <w:rPr>
          <w:u w:val="single"/>
        </w:rPr>
      </w:pPr>
      <w:r w:rsidRPr="00350B98">
        <w:rPr>
          <w:u w:val="single"/>
        </w:rPr>
        <w:t xml:space="preserve">  /s/ </w:t>
      </w:r>
      <w:r w:rsidRPr="00C75004">
        <w:rPr>
          <w:i/>
          <w:iCs/>
          <w:u w:val="single"/>
        </w:rPr>
        <w:t>Kelsey Daugherty</w:t>
      </w:r>
      <w:r w:rsidRPr="00C75004">
        <w:rPr>
          <w:i/>
          <w:iCs/>
          <w:u w:val="single"/>
        </w:rPr>
        <w:tab/>
      </w:r>
      <w:r w:rsidRPr="00350B98">
        <w:rPr>
          <w:u w:val="single"/>
        </w:rPr>
        <w:tab/>
      </w:r>
    </w:p>
    <w:p w14:paraId="50BC26F3" w14:textId="77777777" w:rsidR="00556AF9" w:rsidRPr="00350B98" w:rsidRDefault="00556AF9" w:rsidP="00556AF9">
      <w:pPr>
        <w:ind w:left="4320"/>
        <w:rPr>
          <w:snapToGrid w:val="0"/>
        </w:rPr>
      </w:pPr>
      <w:r>
        <w:rPr>
          <w:snapToGrid w:val="0"/>
        </w:rPr>
        <w:t>Kelsey Daugherty</w:t>
      </w:r>
    </w:p>
    <w:p w14:paraId="5D2F05E7" w14:textId="77777777" w:rsidR="00556AF9" w:rsidRDefault="00556AF9" w:rsidP="00556AF9">
      <w:pPr>
        <w:ind w:left="4320"/>
        <w:rPr>
          <w:snapToGrid w:val="0"/>
        </w:rPr>
      </w:pPr>
      <w:r w:rsidRPr="00350B98">
        <w:rPr>
          <w:snapToGrid w:val="0"/>
        </w:rPr>
        <w:t>State Bar No. 2412</w:t>
      </w:r>
      <w:r>
        <w:rPr>
          <w:snapToGrid w:val="0"/>
        </w:rPr>
        <w:t>5054</w:t>
      </w:r>
    </w:p>
    <w:p w14:paraId="70024FA6" w14:textId="77777777" w:rsidR="00556AF9" w:rsidRPr="00350B98" w:rsidRDefault="00556AF9" w:rsidP="00556AF9">
      <w:pPr>
        <w:ind w:left="4320"/>
        <w:rPr>
          <w:snapToGrid w:val="0"/>
        </w:rPr>
      </w:pPr>
      <w:r w:rsidRPr="00350B98">
        <w:rPr>
          <w:snapToGrid w:val="0"/>
        </w:rPr>
        <w:t>1701 N. Congress Ave.</w:t>
      </w:r>
    </w:p>
    <w:p w14:paraId="23B68041" w14:textId="77777777" w:rsidR="00556AF9" w:rsidRPr="00350B98" w:rsidRDefault="00556AF9" w:rsidP="00556AF9">
      <w:pPr>
        <w:ind w:left="4320"/>
        <w:rPr>
          <w:snapToGrid w:val="0"/>
        </w:rPr>
      </w:pPr>
      <w:r w:rsidRPr="00350B98">
        <w:rPr>
          <w:snapToGrid w:val="0"/>
        </w:rPr>
        <w:t>P.O. Box 13326</w:t>
      </w:r>
    </w:p>
    <w:p w14:paraId="2B62F549" w14:textId="77777777" w:rsidR="00556AF9" w:rsidRPr="00350B98" w:rsidRDefault="00556AF9" w:rsidP="00556AF9">
      <w:pPr>
        <w:ind w:left="4320"/>
        <w:rPr>
          <w:snapToGrid w:val="0"/>
        </w:rPr>
      </w:pPr>
      <w:r w:rsidRPr="00350B98">
        <w:rPr>
          <w:snapToGrid w:val="0"/>
        </w:rPr>
        <w:t>Austin, Texas 78711-3326</w:t>
      </w:r>
    </w:p>
    <w:p w14:paraId="0E68C9CA" w14:textId="77777777" w:rsidR="00556AF9" w:rsidRPr="00350B98" w:rsidRDefault="00556AF9" w:rsidP="00556AF9">
      <w:pPr>
        <w:ind w:left="4320"/>
        <w:rPr>
          <w:snapToGrid w:val="0"/>
        </w:rPr>
      </w:pPr>
      <w:r w:rsidRPr="00350B98">
        <w:rPr>
          <w:snapToGrid w:val="0"/>
        </w:rPr>
        <w:t>(512) 936-7</w:t>
      </w:r>
      <w:r>
        <w:rPr>
          <w:snapToGrid w:val="0"/>
        </w:rPr>
        <w:t>255</w:t>
      </w:r>
    </w:p>
    <w:p w14:paraId="6511FCCF" w14:textId="77777777" w:rsidR="00556AF9" w:rsidRPr="00350B98" w:rsidRDefault="00556AF9" w:rsidP="00556AF9">
      <w:pPr>
        <w:ind w:left="4320"/>
        <w:rPr>
          <w:snapToGrid w:val="0"/>
        </w:rPr>
      </w:pPr>
      <w:r w:rsidRPr="00350B98">
        <w:rPr>
          <w:snapToGrid w:val="0"/>
        </w:rPr>
        <w:t>(512) 936-7268 (fax)</w:t>
      </w:r>
    </w:p>
    <w:p w14:paraId="7E1C7467" w14:textId="77777777" w:rsidR="00556AF9" w:rsidRPr="00350B98" w:rsidRDefault="00556AF9" w:rsidP="00556AF9">
      <w:pPr>
        <w:ind w:left="4320"/>
        <w:rPr>
          <w:snapToGrid w:val="0"/>
        </w:rPr>
      </w:pPr>
      <w:r>
        <w:rPr>
          <w:snapToGrid w:val="0"/>
        </w:rPr>
        <w:t>Kelsey</w:t>
      </w:r>
      <w:r w:rsidRPr="00350B98">
        <w:rPr>
          <w:snapToGrid w:val="0"/>
        </w:rPr>
        <w:t>.</w:t>
      </w:r>
      <w:r>
        <w:rPr>
          <w:snapToGrid w:val="0"/>
        </w:rPr>
        <w:t>Daugherty</w:t>
      </w:r>
      <w:r w:rsidRPr="00350B98">
        <w:rPr>
          <w:snapToGrid w:val="0"/>
        </w:rPr>
        <w:t>@puc.texas.gov</w:t>
      </w:r>
    </w:p>
    <w:p w14:paraId="24AA8024" w14:textId="77777777" w:rsidR="00556AF9" w:rsidRPr="00BE511C" w:rsidRDefault="00556AF9" w:rsidP="00556AF9"/>
    <w:p w14:paraId="3C02AE22" w14:textId="77777777" w:rsidR="00556AF9" w:rsidRPr="00BE511C" w:rsidRDefault="00556AF9" w:rsidP="00556AF9"/>
    <w:p w14:paraId="616D5F39" w14:textId="77777777" w:rsidR="00556AF9" w:rsidRDefault="00556AF9" w:rsidP="00556AF9">
      <w:pPr>
        <w:ind w:firstLine="720"/>
      </w:pPr>
      <w:r>
        <w:br w:type="page"/>
      </w:r>
    </w:p>
    <w:p w14:paraId="3BEAEE24" w14:textId="77777777" w:rsidR="00556AF9" w:rsidRDefault="00556AF9" w:rsidP="00556AF9">
      <w:pPr>
        <w:jc w:val="center"/>
      </w:pPr>
      <w:r>
        <w:rPr>
          <w:b/>
          <w:bCs/>
        </w:rPr>
        <w:lastRenderedPageBreak/>
        <w:t>TABLE OF CONTENTS</w:t>
      </w:r>
    </w:p>
    <w:sdt>
      <w:sdtPr>
        <w:rPr>
          <w:rFonts w:asciiTheme="minorHAnsi" w:eastAsiaTheme="minorEastAsia" w:hAnsiTheme="minorHAnsi" w:cs="Times New Roman"/>
          <w:color w:val="auto"/>
          <w:sz w:val="22"/>
          <w:szCs w:val="22"/>
        </w:rPr>
        <w:id w:val="192354466"/>
        <w:docPartObj>
          <w:docPartGallery w:val="Table of Contents"/>
          <w:docPartUnique/>
        </w:docPartObj>
      </w:sdtPr>
      <w:sdtEndPr>
        <w:rPr>
          <w:rFonts w:ascii="Times New Roman" w:eastAsia="Times New Roman" w:hAnsi="Times New Roman"/>
          <w:sz w:val="24"/>
          <w:szCs w:val="20"/>
        </w:rPr>
      </w:sdtEndPr>
      <w:sdtContent>
        <w:p w14:paraId="3EBEAC27" w14:textId="77777777" w:rsidR="00556AF9" w:rsidRPr="00D94CD9" w:rsidRDefault="00556AF9" w:rsidP="00556AF9">
          <w:pPr>
            <w:pStyle w:val="TOCHeading"/>
            <w:rPr>
              <w:rFonts w:ascii="Times New Roman" w:hAnsi="Times New Roman" w:cs="Times New Roman"/>
            </w:rPr>
          </w:pPr>
        </w:p>
        <w:p w14:paraId="33DF1C2D" w14:textId="77777777" w:rsidR="00556AF9" w:rsidRPr="00D94CD9" w:rsidRDefault="00556AF9" w:rsidP="00556AF9">
          <w:pPr>
            <w:pStyle w:val="TOC1"/>
            <w:rPr>
              <w:rFonts w:ascii="Times New Roman" w:hAnsi="Times New Roman"/>
              <w:sz w:val="24"/>
              <w:szCs w:val="24"/>
            </w:rPr>
          </w:pPr>
          <w:r w:rsidRPr="00D94CD9">
            <w:rPr>
              <w:rFonts w:ascii="Times New Roman" w:hAnsi="Times New Roman"/>
              <w:b/>
              <w:bCs/>
              <w:sz w:val="24"/>
              <w:szCs w:val="24"/>
            </w:rPr>
            <w:t>Introduction and Summary</w:t>
          </w:r>
          <w:r w:rsidRPr="00D94CD9">
            <w:rPr>
              <w:rFonts w:ascii="Times New Roman" w:hAnsi="Times New Roman"/>
              <w:sz w:val="24"/>
              <w:szCs w:val="24"/>
            </w:rPr>
            <w:ptab w:relativeTo="margin" w:alignment="right" w:leader="dot"/>
          </w:r>
          <w:r>
            <w:rPr>
              <w:rFonts w:ascii="Times New Roman" w:hAnsi="Times New Roman"/>
              <w:b/>
              <w:bCs/>
              <w:sz w:val="24"/>
              <w:szCs w:val="24"/>
            </w:rPr>
            <w:t>3</w:t>
          </w:r>
        </w:p>
        <w:p w14:paraId="1148B32E" w14:textId="77777777" w:rsidR="00556AF9" w:rsidRPr="00D94CD9" w:rsidRDefault="00556AF9" w:rsidP="00556AF9">
          <w:pPr>
            <w:pStyle w:val="TOC2"/>
            <w:rPr>
              <w:rFonts w:ascii="Times New Roman" w:hAnsi="Times New Roman"/>
              <w:sz w:val="24"/>
              <w:szCs w:val="24"/>
            </w:rPr>
          </w:pPr>
          <w:r w:rsidRPr="00D94CD9">
            <w:rPr>
              <w:rFonts w:ascii="Times New Roman" w:hAnsi="Times New Roman"/>
              <w:sz w:val="24"/>
              <w:szCs w:val="24"/>
            </w:rPr>
            <w:t>Procedural History</w:t>
          </w:r>
          <w:r w:rsidRPr="00D94CD9">
            <w:rPr>
              <w:rFonts w:ascii="Times New Roman" w:hAnsi="Times New Roman"/>
              <w:b w:val="0"/>
              <w:bCs w:val="0"/>
              <w:sz w:val="24"/>
              <w:szCs w:val="24"/>
            </w:rPr>
            <w:ptab w:relativeTo="margin" w:alignment="right" w:leader="dot"/>
          </w:r>
          <w:r>
            <w:rPr>
              <w:rFonts w:ascii="Times New Roman" w:hAnsi="Times New Roman"/>
              <w:sz w:val="24"/>
              <w:szCs w:val="24"/>
            </w:rPr>
            <w:t>3</w:t>
          </w:r>
        </w:p>
        <w:p w14:paraId="2D0EB478" w14:textId="77777777" w:rsidR="00556AF9" w:rsidRPr="00D94CD9" w:rsidRDefault="00556AF9" w:rsidP="00556AF9">
          <w:pPr>
            <w:pStyle w:val="TOC3"/>
            <w:ind w:left="0"/>
            <w:rPr>
              <w:rFonts w:ascii="Times New Roman" w:hAnsi="Times New Roman"/>
              <w:sz w:val="24"/>
              <w:szCs w:val="24"/>
            </w:rPr>
          </w:pPr>
          <w:r w:rsidRPr="00D94CD9">
            <w:rPr>
              <w:rFonts w:ascii="Times New Roman" w:hAnsi="Times New Roman"/>
              <w:sz w:val="24"/>
              <w:szCs w:val="24"/>
            </w:rPr>
            <w:t>Remaining Preliminary Order Issues</w:t>
          </w:r>
          <w:r w:rsidRPr="00D94CD9">
            <w:rPr>
              <w:rFonts w:ascii="Times New Roman" w:hAnsi="Times New Roman"/>
              <w:sz w:val="24"/>
              <w:szCs w:val="24"/>
            </w:rPr>
            <w:ptab w:relativeTo="margin" w:alignment="right" w:leader="dot"/>
          </w:r>
          <w:r>
            <w:rPr>
              <w:rFonts w:ascii="Times New Roman" w:hAnsi="Times New Roman"/>
              <w:sz w:val="24"/>
              <w:szCs w:val="24"/>
            </w:rPr>
            <w:t>3</w:t>
          </w:r>
        </w:p>
        <w:p w14:paraId="282E2162" w14:textId="77777777" w:rsidR="00556AF9" w:rsidRDefault="00556AF9" w:rsidP="00556AF9">
          <w:pPr>
            <w:pStyle w:val="TOC1"/>
            <w:ind w:left="720"/>
            <w:rPr>
              <w:rFonts w:ascii="Times New Roman" w:hAnsi="Times New Roman"/>
              <w:b/>
              <w:bCs/>
              <w:sz w:val="24"/>
              <w:szCs w:val="24"/>
            </w:rPr>
          </w:pPr>
          <w:r w:rsidRPr="00D94CD9">
            <w:rPr>
              <w:rFonts w:ascii="Times New Roman" w:hAnsi="Times New Roman"/>
              <w:b/>
              <w:bCs/>
              <w:sz w:val="24"/>
              <w:szCs w:val="24"/>
            </w:rPr>
            <w:t>Initial Rates</w:t>
          </w:r>
          <w:r w:rsidRPr="00D94CD9">
            <w:rPr>
              <w:rFonts w:ascii="Times New Roman" w:hAnsi="Times New Roman"/>
              <w:sz w:val="24"/>
              <w:szCs w:val="24"/>
            </w:rPr>
            <w:ptab w:relativeTo="margin" w:alignment="right" w:leader="dot"/>
          </w:r>
          <w:r>
            <w:rPr>
              <w:rFonts w:ascii="Times New Roman" w:hAnsi="Times New Roman"/>
              <w:b/>
              <w:bCs/>
              <w:sz w:val="24"/>
              <w:szCs w:val="24"/>
            </w:rPr>
            <w:t>3</w:t>
          </w:r>
        </w:p>
        <w:p w14:paraId="2E853F0C" w14:textId="7680E318" w:rsidR="00C307F0" w:rsidRDefault="00C307F0" w:rsidP="00C307F0">
          <w:pPr>
            <w:ind w:left="1440"/>
            <w:rPr>
              <w:b/>
              <w:bCs/>
              <w:szCs w:val="24"/>
            </w:rPr>
          </w:pPr>
          <w:r>
            <w:rPr>
              <w:b/>
              <w:bCs/>
              <w:szCs w:val="24"/>
            </w:rPr>
            <w:t xml:space="preserve">TWU’s estimated bill calculation does not prove that the requested </w:t>
          </w:r>
          <w:r>
            <w:rPr>
              <w:b/>
              <w:bCs/>
              <w:szCs w:val="24"/>
            </w:rPr>
            <w:tab/>
            <w:t xml:space="preserve">   initial rates are reasonable and in the public interest.</w:t>
          </w:r>
          <w:r w:rsidRPr="00D94CD9">
            <w:rPr>
              <w:szCs w:val="24"/>
            </w:rPr>
            <w:ptab w:relativeTo="margin" w:alignment="right" w:leader="dot"/>
          </w:r>
          <w:r>
            <w:rPr>
              <w:b/>
              <w:bCs/>
              <w:szCs w:val="24"/>
            </w:rPr>
            <w:t>3</w:t>
          </w:r>
        </w:p>
        <w:p w14:paraId="7961E738" w14:textId="77777777" w:rsidR="00C307F0" w:rsidRDefault="00C307F0" w:rsidP="00C307F0">
          <w:pPr>
            <w:ind w:left="1440"/>
            <w:rPr>
              <w:b/>
              <w:bCs/>
              <w:szCs w:val="24"/>
            </w:rPr>
          </w:pPr>
        </w:p>
        <w:p w14:paraId="52DEDB6C" w14:textId="417B2FD6" w:rsidR="00C307F0" w:rsidRDefault="00C307F0" w:rsidP="00C307F0">
          <w:pPr>
            <w:ind w:left="1440"/>
            <w:rPr>
              <w:b/>
              <w:bCs/>
              <w:szCs w:val="24"/>
            </w:rPr>
          </w:pPr>
          <w:r w:rsidRPr="00C307F0">
            <w:rPr>
              <w:b/>
              <w:bCs/>
              <w:szCs w:val="24"/>
            </w:rPr>
            <w:t xml:space="preserve">Approving either TWU’s requested initial rates or the Villas of </w:t>
          </w:r>
          <w:proofErr w:type="spellStart"/>
          <w:r w:rsidRPr="00C307F0">
            <w:rPr>
              <w:b/>
              <w:bCs/>
              <w:szCs w:val="24"/>
            </w:rPr>
            <w:t>Willowbrook</w:t>
          </w:r>
          <w:proofErr w:type="spellEnd"/>
          <w:r w:rsidRPr="00C307F0">
            <w:rPr>
              <w:b/>
              <w:bCs/>
              <w:szCs w:val="24"/>
            </w:rPr>
            <w:t xml:space="preserve"> phased rate schedule is consistent with TWC § 13.190 and the Third Court of Appeals’ interpretation of a similar provision of the Gas Utility Regulatory Act (GURA)</w:t>
          </w:r>
          <w:r>
            <w:rPr>
              <w:b/>
              <w:bCs/>
              <w:szCs w:val="24"/>
            </w:rPr>
            <w:t>.</w:t>
          </w:r>
          <w:r w:rsidRPr="00D94CD9">
            <w:rPr>
              <w:szCs w:val="24"/>
            </w:rPr>
            <w:ptab w:relativeTo="margin" w:alignment="right" w:leader="dot"/>
          </w:r>
          <w:r>
            <w:rPr>
              <w:b/>
              <w:bCs/>
              <w:szCs w:val="24"/>
            </w:rPr>
            <w:t>4</w:t>
          </w:r>
        </w:p>
        <w:p w14:paraId="037EC34D" w14:textId="77777777" w:rsidR="00C307F0" w:rsidRDefault="00C307F0" w:rsidP="00C307F0">
          <w:pPr>
            <w:ind w:left="1440"/>
            <w:rPr>
              <w:b/>
              <w:bCs/>
              <w:szCs w:val="24"/>
            </w:rPr>
          </w:pPr>
        </w:p>
        <w:p w14:paraId="334E24EA" w14:textId="317A73CE" w:rsidR="00C307F0" w:rsidRDefault="00C307F0" w:rsidP="00C307F0">
          <w:pPr>
            <w:ind w:left="1440"/>
            <w:rPr>
              <w:b/>
              <w:bCs/>
              <w:szCs w:val="24"/>
            </w:rPr>
          </w:pPr>
          <w:r w:rsidRPr="00C307F0">
            <w:rPr>
              <w:b/>
              <w:bCs/>
              <w:szCs w:val="24"/>
            </w:rPr>
            <w:t xml:space="preserve">The Villas of </w:t>
          </w:r>
          <w:proofErr w:type="spellStart"/>
          <w:r w:rsidRPr="00C307F0">
            <w:rPr>
              <w:b/>
              <w:bCs/>
              <w:szCs w:val="24"/>
            </w:rPr>
            <w:t>Willowbrook</w:t>
          </w:r>
          <w:proofErr w:type="spellEnd"/>
          <w:r w:rsidRPr="00C307F0">
            <w:rPr>
              <w:b/>
              <w:bCs/>
              <w:szCs w:val="24"/>
            </w:rPr>
            <w:t xml:space="preserve"> phased rate schedule is an available tool to moderate the effects of the rate increase for Southern Horizons customers.</w:t>
          </w:r>
          <w:r w:rsidRPr="00D94CD9">
            <w:rPr>
              <w:szCs w:val="24"/>
            </w:rPr>
            <w:ptab w:relativeTo="margin" w:alignment="right" w:leader="dot"/>
          </w:r>
          <w:r>
            <w:rPr>
              <w:b/>
              <w:bCs/>
              <w:szCs w:val="24"/>
            </w:rPr>
            <w:t>5</w:t>
          </w:r>
        </w:p>
        <w:p w14:paraId="57EAF867" w14:textId="77777777" w:rsidR="00C307F0" w:rsidRDefault="00C307F0" w:rsidP="00C307F0">
          <w:pPr>
            <w:ind w:left="1440"/>
            <w:rPr>
              <w:b/>
              <w:bCs/>
              <w:szCs w:val="24"/>
            </w:rPr>
          </w:pPr>
        </w:p>
        <w:p w14:paraId="6C4867A0" w14:textId="5A4F0DD6" w:rsidR="00C307F0" w:rsidRDefault="00C307F0" w:rsidP="00C307F0">
          <w:pPr>
            <w:ind w:left="1440"/>
            <w:rPr>
              <w:b/>
              <w:bCs/>
              <w:szCs w:val="24"/>
            </w:rPr>
          </w:pPr>
          <w:r w:rsidRPr="00C307F0">
            <w:rPr>
              <w:b/>
              <w:bCs/>
              <w:szCs w:val="24"/>
            </w:rPr>
            <w:t xml:space="preserve">Staff’s testimony adequately analyzes the public interest factors in 16 TAC § 24.239 and sufficiently supports Staff’s recommendation supporting TWU’s request for initial rates or alternatively, adoption of the Villas of </w:t>
          </w:r>
          <w:proofErr w:type="spellStart"/>
          <w:r w:rsidRPr="00C307F0">
            <w:rPr>
              <w:b/>
              <w:bCs/>
              <w:szCs w:val="24"/>
            </w:rPr>
            <w:t>Willowbrook</w:t>
          </w:r>
          <w:proofErr w:type="spellEnd"/>
          <w:r w:rsidRPr="00C307F0">
            <w:rPr>
              <w:b/>
              <w:bCs/>
              <w:szCs w:val="24"/>
            </w:rPr>
            <w:t xml:space="preserve"> phased rate schedule</w:t>
          </w:r>
          <w:r>
            <w:rPr>
              <w:b/>
              <w:bCs/>
              <w:szCs w:val="24"/>
            </w:rPr>
            <w:t>.</w:t>
          </w:r>
          <w:r w:rsidRPr="00D94CD9">
            <w:rPr>
              <w:szCs w:val="24"/>
            </w:rPr>
            <w:ptab w:relativeTo="margin" w:alignment="right" w:leader="dot"/>
          </w:r>
          <w:r>
            <w:rPr>
              <w:b/>
              <w:bCs/>
              <w:szCs w:val="24"/>
            </w:rPr>
            <w:t>6</w:t>
          </w:r>
        </w:p>
        <w:p w14:paraId="30BC47A8" w14:textId="77777777" w:rsidR="00C307F0" w:rsidRDefault="00C307F0" w:rsidP="00C307F0">
          <w:pPr>
            <w:ind w:left="1440"/>
            <w:rPr>
              <w:b/>
              <w:bCs/>
              <w:szCs w:val="24"/>
            </w:rPr>
          </w:pPr>
        </w:p>
        <w:p w14:paraId="4215CC7A" w14:textId="0B71A985" w:rsidR="00C307F0" w:rsidRDefault="00C307F0" w:rsidP="00C307F0">
          <w:pPr>
            <w:ind w:left="1440"/>
            <w:rPr>
              <w:b/>
              <w:bCs/>
              <w:szCs w:val="24"/>
            </w:rPr>
          </w:pPr>
          <w:r w:rsidRPr="00C307F0">
            <w:rPr>
              <w:b/>
              <w:bCs/>
              <w:szCs w:val="24"/>
            </w:rPr>
            <w:t xml:space="preserve">The Commission addresses </w:t>
          </w:r>
          <w:proofErr w:type="gramStart"/>
          <w:r w:rsidRPr="00C307F0">
            <w:rPr>
              <w:b/>
              <w:bCs/>
              <w:szCs w:val="24"/>
            </w:rPr>
            <w:t>whether or not</w:t>
          </w:r>
          <w:proofErr w:type="gramEnd"/>
          <w:r w:rsidRPr="00C307F0">
            <w:rPr>
              <w:b/>
              <w:bCs/>
              <w:szCs w:val="24"/>
            </w:rPr>
            <w:t xml:space="preserve"> to grant an acquiring utility’s request to charge its existing rates on a case-by-case basis. </w:t>
          </w:r>
          <w:r w:rsidRPr="00D94CD9">
            <w:rPr>
              <w:szCs w:val="24"/>
            </w:rPr>
            <w:ptab w:relativeTo="margin" w:alignment="right" w:leader="dot"/>
          </w:r>
          <w:r>
            <w:rPr>
              <w:b/>
              <w:bCs/>
              <w:szCs w:val="24"/>
            </w:rPr>
            <w:t>6</w:t>
          </w:r>
        </w:p>
        <w:p w14:paraId="595232FE" w14:textId="77777777" w:rsidR="00C307F0" w:rsidRDefault="00C307F0" w:rsidP="00C307F0">
          <w:pPr>
            <w:ind w:left="1440"/>
            <w:rPr>
              <w:b/>
              <w:bCs/>
              <w:szCs w:val="24"/>
            </w:rPr>
          </w:pPr>
        </w:p>
        <w:p w14:paraId="5EF3C060" w14:textId="77777777" w:rsidR="00C307F0" w:rsidRPr="00C307F0" w:rsidRDefault="00C307F0" w:rsidP="00C307F0">
          <w:pPr>
            <w:ind w:left="1440"/>
          </w:pPr>
        </w:p>
        <w:p w14:paraId="646D5EE8" w14:textId="77777777" w:rsidR="00C307F0" w:rsidRPr="00C307F0" w:rsidRDefault="00C307F0" w:rsidP="00C307F0">
          <w:pPr>
            <w:ind w:left="1440"/>
          </w:pPr>
        </w:p>
        <w:p w14:paraId="0CC37283" w14:textId="77777777" w:rsidR="00556AF9" w:rsidRPr="00D94CD9" w:rsidRDefault="00556AF9" w:rsidP="00556AF9">
          <w:pPr>
            <w:pStyle w:val="TOC2"/>
            <w:rPr>
              <w:rFonts w:ascii="Times New Roman" w:hAnsi="Times New Roman"/>
              <w:sz w:val="24"/>
              <w:szCs w:val="24"/>
            </w:rPr>
          </w:pPr>
          <w:r w:rsidRPr="00D94CD9">
            <w:rPr>
              <w:rFonts w:ascii="Times New Roman" w:hAnsi="Times New Roman"/>
              <w:sz w:val="24"/>
              <w:szCs w:val="24"/>
            </w:rPr>
            <w:t>Conclusion</w:t>
          </w:r>
          <w:r w:rsidRPr="00D94CD9">
            <w:rPr>
              <w:rFonts w:ascii="Times New Roman" w:hAnsi="Times New Roman"/>
              <w:b w:val="0"/>
              <w:bCs w:val="0"/>
              <w:sz w:val="24"/>
              <w:szCs w:val="24"/>
            </w:rPr>
            <w:ptab w:relativeTo="margin" w:alignment="right" w:leader="dot"/>
          </w:r>
          <w:r>
            <w:rPr>
              <w:rFonts w:ascii="Times New Roman" w:hAnsi="Times New Roman"/>
              <w:sz w:val="24"/>
              <w:szCs w:val="24"/>
            </w:rPr>
            <w:t>7</w:t>
          </w:r>
        </w:p>
        <w:p w14:paraId="410CD120" w14:textId="77777777" w:rsidR="00556AF9" w:rsidRPr="00D94CD9" w:rsidRDefault="00556AF9" w:rsidP="00556AF9">
          <w:pPr>
            <w:pStyle w:val="TOC3"/>
            <w:ind w:left="0"/>
            <w:rPr>
              <w:rFonts w:ascii="Times New Roman" w:hAnsi="Times New Roman"/>
              <w:sz w:val="24"/>
              <w:szCs w:val="24"/>
            </w:rPr>
          </w:pPr>
        </w:p>
        <w:p w14:paraId="23BF81AF" w14:textId="77777777" w:rsidR="00556AF9" w:rsidRPr="00D94CD9" w:rsidRDefault="002678CA" w:rsidP="00556AF9"/>
      </w:sdtContent>
    </w:sdt>
    <w:p w14:paraId="04DECDE0" w14:textId="77777777" w:rsidR="00556AF9" w:rsidRDefault="00556AF9" w:rsidP="00556AF9">
      <w:pPr>
        <w:jc w:val="left"/>
      </w:pPr>
    </w:p>
    <w:p w14:paraId="728CBFCC" w14:textId="77777777" w:rsidR="00556AF9" w:rsidRDefault="00556AF9" w:rsidP="00556AF9">
      <w:pPr>
        <w:jc w:val="center"/>
      </w:pPr>
    </w:p>
    <w:p w14:paraId="1CA6E282" w14:textId="77777777" w:rsidR="00556AF9" w:rsidRDefault="00556AF9" w:rsidP="00556AF9">
      <w:pPr>
        <w:jc w:val="center"/>
      </w:pPr>
    </w:p>
    <w:p w14:paraId="494C5032" w14:textId="77777777" w:rsidR="00556AF9" w:rsidRDefault="00556AF9" w:rsidP="00556AF9">
      <w:pPr>
        <w:jc w:val="center"/>
      </w:pPr>
    </w:p>
    <w:p w14:paraId="0FAD6622" w14:textId="77777777" w:rsidR="00556AF9" w:rsidRDefault="00556AF9" w:rsidP="00556AF9">
      <w:pPr>
        <w:jc w:val="center"/>
      </w:pPr>
    </w:p>
    <w:p w14:paraId="0A33E346" w14:textId="77777777" w:rsidR="00556AF9" w:rsidRDefault="00556AF9" w:rsidP="00556AF9">
      <w:pPr>
        <w:jc w:val="center"/>
      </w:pPr>
    </w:p>
    <w:p w14:paraId="03A29B65" w14:textId="77777777" w:rsidR="00556AF9" w:rsidRDefault="00556AF9" w:rsidP="00556AF9">
      <w:pPr>
        <w:jc w:val="center"/>
      </w:pPr>
    </w:p>
    <w:p w14:paraId="1030368E" w14:textId="77777777" w:rsidR="00556AF9" w:rsidRDefault="00556AF9" w:rsidP="00556AF9">
      <w:pPr>
        <w:jc w:val="center"/>
      </w:pPr>
    </w:p>
    <w:p w14:paraId="24A9964B" w14:textId="77777777" w:rsidR="00556AF9" w:rsidRDefault="00556AF9" w:rsidP="00556AF9">
      <w:pPr>
        <w:jc w:val="center"/>
      </w:pPr>
    </w:p>
    <w:p w14:paraId="18F77146" w14:textId="77777777" w:rsidR="00556AF9" w:rsidRDefault="00556AF9" w:rsidP="00556AF9">
      <w:pPr>
        <w:jc w:val="center"/>
      </w:pPr>
    </w:p>
    <w:p w14:paraId="67C13C7B" w14:textId="77777777" w:rsidR="00556AF9" w:rsidRDefault="00556AF9" w:rsidP="00556AF9">
      <w:pPr>
        <w:jc w:val="center"/>
      </w:pPr>
    </w:p>
    <w:p w14:paraId="11B8CC31" w14:textId="77777777" w:rsidR="00C307F0" w:rsidRDefault="00C307F0" w:rsidP="00C307F0"/>
    <w:p w14:paraId="320B590C" w14:textId="77777777" w:rsidR="00556AF9" w:rsidRDefault="00556AF9" w:rsidP="00556AF9">
      <w:pPr>
        <w:jc w:val="center"/>
      </w:pPr>
    </w:p>
    <w:p w14:paraId="7863E11F" w14:textId="77777777" w:rsidR="00556AF9" w:rsidRPr="00792BDF" w:rsidRDefault="00556AF9" w:rsidP="00556AF9">
      <w:pPr>
        <w:pStyle w:val="ListParagraph"/>
        <w:numPr>
          <w:ilvl w:val="0"/>
          <w:numId w:val="1"/>
        </w:numPr>
        <w:jc w:val="center"/>
        <w:rPr>
          <w:b/>
          <w:bCs/>
        </w:rPr>
      </w:pPr>
      <w:r w:rsidRPr="003D2210">
        <w:rPr>
          <w:b/>
          <w:bCs/>
        </w:rPr>
        <w:lastRenderedPageBreak/>
        <w:t>INTRODUCTION AND SUMMARY</w:t>
      </w:r>
    </w:p>
    <w:p w14:paraId="2AC05235" w14:textId="77777777" w:rsidR="00556AF9" w:rsidRPr="008D2870" w:rsidRDefault="00556AF9" w:rsidP="00556AF9">
      <w:pPr>
        <w:spacing w:before="240" w:line="360" w:lineRule="auto"/>
        <w:ind w:firstLine="720"/>
        <w:rPr>
          <w:iCs/>
          <w:szCs w:val="24"/>
        </w:rPr>
      </w:pPr>
      <w:r w:rsidRPr="005B3918">
        <w:rPr>
          <w:iCs/>
        </w:rPr>
        <w:t xml:space="preserve">On February 2, 2023, </w:t>
      </w:r>
      <w:r w:rsidRPr="005B3918">
        <w:t>Texas Water Utilities, LP</w:t>
      </w:r>
      <w:r w:rsidRPr="005B3918">
        <w:rPr>
          <w:iCs/>
        </w:rPr>
        <w:t xml:space="preserve"> (T</w:t>
      </w:r>
      <w:r>
        <w:rPr>
          <w:iCs/>
        </w:rPr>
        <w:t>WU</w:t>
      </w:r>
      <w:r w:rsidRPr="005B3918">
        <w:rPr>
          <w:iCs/>
        </w:rPr>
        <w:t xml:space="preserve">) and </w:t>
      </w:r>
      <w:r w:rsidRPr="005B3918">
        <w:t>Southern Horizons Development, Inc.</w:t>
      </w:r>
      <w:r w:rsidRPr="005B3918">
        <w:rPr>
          <w:iCs/>
        </w:rPr>
        <w:t xml:space="preserve"> (So</w:t>
      </w:r>
      <w:r>
        <w:rPr>
          <w:iCs/>
        </w:rPr>
        <w:t>u</w:t>
      </w:r>
      <w:r w:rsidRPr="005B3918">
        <w:rPr>
          <w:iCs/>
        </w:rPr>
        <w:t>thern Horizons) (collectively, Applicants) filed an application for approval of the sale, transfer, or merger of facilities and certificate rights in Liberty and Montgomery Counties.</w:t>
      </w:r>
      <w:r w:rsidRPr="004578E9">
        <w:rPr>
          <w:iCs/>
        </w:rPr>
        <w:t xml:space="preserve"> </w:t>
      </w:r>
      <w:r w:rsidRPr="00FA0D7E">
        <w:rPr>
          <w:iCs/>
          <w:szCs w:val="24"/>
        </w:rPr>
        <w:t xml:space="preserve">On August </w:t>
      </w:r>
      <w:r>
        <w:rPr>
          <w:iCs/>
          <w:szCs w:val="24"/>
        </w:rPr>
        <w:t>9</w:t>
      </w:r>
      <w:r w:rsidRPr="00FA0D7E">
        <w:rPr>
          <w:iCs/>
          <w:szCs w:val="24"/>
        </w:rPr>
        <w:t xml:space="preserve">, 2024, </w:t>
      </w:r>
      <w:proofErr w:type="gramStart"/>
      <w:r>
        <w:rPr>
          <w:iCs/>
          <w:szCs w:val="24"/>
        </w:rPr>
        <w:t>TWU</w:t>
      </w:r>
      <w:proofErr w:type="gramEnd"/>
      <w:r>
        <w:rPr>
          <w:iCs/>
          <w:szCs w:val="24"/>
        </w:rPr>
        <w:t xml:space="preserve"> and the Staff (Staff) of the Public Utility Commission of Texas</w:t>
      </w:r>
      <w:r w:rsidRPr="00FA0D7E">
        <w:rPr>
          <w:iCs/>
          <w:szCs w:val="24"/>
        </w:rPr>
        <w:t xml:space="preserve"> </w:t>
      </w:r>
      <w:r>
        <w:rPr>
          <w:iCs/>
          <w:szCs w:val="24"/>
        </w:rPr>
        <w:t xml:space="preserve">(Commission) </w:t>
      </w:r>
      <w:r w:rsidRPr="00FA0D7E">
        <w:rPr>
          <w:iCs/>
          <w:szCs w:val="24"/>
        </w:rPr>
        <w:t xml:space="preserve">filed </w:t>
      </w:r>
      <w:r>
        <w:rPr>
          <w:iCs/>
          <w:szCs w:val="24"/>
        </w:rPr>
        <w:t xml:space="preserve">Proposed </w:t>
      </w:r>
      <w:r w:rsidRPr="00FA0D7E">
        <w:rPr>
          <w:iCs/>
          <w:szCs w:val="24"/>
        </w:rPr>
        <w:t>Findings of Fact and Conclusions of Law</w:t>
      </w:r>
      <w:r>
        <w:rPr>
          <w:iCs/>
          <w:szCs w:val="24"/>
        </w:rPr>
        <w:t xml:space="preserve"> addressing the uncontested issues in this proceeding. Therefore, in this brief Staff will solely address the remaining contested issues in this proceeding. Staff respectfully requests that the State Office of Administrative Hearings (SOAH) Administrative Law Judge (ALJ) issue a proposal for decision (PFD) finding that the transaction will serve the public interest and adopting the initial rates proposed by TWU. Alternatively, Staff recommends that the SOAH ALJ issue a PFD finding that the transaction will serve the public interest and adopting the Villas of </w:t>
      </w:r>
      <w:proofErr w:type="spellStart"/>
      <w:r>
        <w:rPr>
          <w:iCs/>
          <w:szCs w:val="24"/>
        </w:rPr>
        <w:t>Willowbrook</w:t>
      </w:r>
      <w:proofErr w:type="spellEnd"/>
      <w:r>
        <w:rPr>
          <w:iCs/>
          <w:szCs w:val="24"/>
        </w:rPr>
        <w:t xml:space="preserve"> phased rate schedule. </w:t>
      </w:r>
    </w:p>
    <w:p w14:paraId="2F1E7D1E" w14:textId="77777777" w:rsidR="00556AF9" w:rsidRDefault="00556AF9" w:rsidP="00FD798E">
      <w:pPr>
        <w:pStyle w:val="ListParagraph"/>
        <w:numPr>
          <w:ilvl w:val="0"/>
          <w:numId w:val="1"/>
        </w:numPr>
        <w:spacing w:before="120"/>
        <w:contextualSpacing w:val="0"/>
        <w:jc w:val="center"/>
        <w:rPr>
          <w:b/>
          <w:bCs/>
        </w:rPr>
      </w:pPr>
      <w:r>
        <w:rPr>
          <w:b/>
          <w:bCs/>
        </w:rPr>
        <w:t>PROCEDURAL HISTORY</w:t>
      </w:r>
    </w:p>
    <w:p w14:paraId="3FB2B4C6" w14:textId="77777777" w:rsidR="00556AF9" w:rsidRPr="00FA0D7E" w:rsidRDefault="00556AF9" w:rsidP="00556AF9">
      <w:pPr>
        <w:pStyle w:val="Paragraph"/>
        <w:spacing w:before="240"/>
      </w:pPr>
      <w:r>
        <w:t xml:space="preserve">TWU filed the application in this proceeding on February 2, 2023. </w:t>
      </w:r>
      <w:r>
        <w:rPr>
          <w:iCs/>
        </w:rPr>
        <w:t xml:space="preserve">On August 23, 2023, intervenor Anna Miller timely requested a hearing to determine whether the sale, transfer, or merger transaction is in the public interest. On March 5, 2024, the Office of Policy and Docket Management filed an Order of Referral, referring this proceeding to SOAH. On July 23, 2024, the parties convened for the Hearing on the Merits. The parties agreed to file initial briefs by August 9, </w:t>
      </w:r>
      <w:proofErr w:type="gramStart"/>
      <w:r>
        <w:rPr>
          <w:iCs/>
        </w:rPr>
        <w:t>2024</w:t>
      </w:r>
      <w:proofErr w:type="gramEnd"/>
      <w:r>
        <w:rPr>
          <w:iCs/>
        </w:rPr>
        <w:t xml:space="preserve"> and reply briefs by August 23, 2024.  </w:t>
      </w:r>
      <w:r>
        <w:t>Therefore, this brief is timely filed.</w:t>
      </w:r>
    </w:p>
    <w:p w14:paraId="45CDF7B5" w14:textId="77777777" w:rsidR="00556AF9" w:rsidRDefault="00556AF9" w:rsidP="00556AF9">
      <w:pPr>
        <w:pStyle w:val="ListParagraph"/>
        <w:numPr>
          <w:ilvl w:val="0"/>
          <w:numId w:val="1"/>
        </w:numPr>
        <w:spacing w:before="240"/>
        <w:jc w:val="center"/>
        <w:rPr>
          <w:b/>
          <w:bCs/>
        </w:rPr>
      </w:pPr>
      <w:r>
        <w:rPr>
          <w:b/>
          <w:bCs/>
        </w:rPr>
        <w:t>REMAINING PRELIMINARY ORDER ISSUES</w:t>
      </w:r>
    </w:p>
    <w:p w14:paraId="03DA7931" w14:textId="77777777" w:rsidR="00556AF9" w:rsidRDefault="00556AF9" w:rsidP="00556AF9">
      <w:pPr>
        <w:pStyle w:val="ListParagraph"/>
        <w:spacing w:before="240"/>
        <w:ind w:left="1080"/>
        <w:rPr>
          <w:b/>
          <w:bCs/>
        </w:rPr>
      </w:pPr>
    </w:p>
    <w:p w14:paraId="38CF029B" w14:textId="77777777" w:rsidR="00556AF9" w:rsidRDefault="00556AF9" w:rsidP="00FD798E">
      <w:pPr>
        <w:pStyle w:val="ListParagraph"/>
        <w:numPr>
          <w:ilvl w:val="0"/>
          <w:numId w:val="2"/>
        </w:numPr>
        <w:spacing w:after="120"/>
        <w:contextualSpacing w:val="0"/>
        <w:jc w:val="left"/>
        <w:rPr>
          <w:b/>
          <w:bCs/>
        </w:rPr>
      </w:pPr>
      <w:r>
        <w:rPr>
          <w:b/>
          <w:bCs/>
        </w:rPr>
        <w:t>Initial Rates [Preliminary Order Issue Nos. 7 and 21]</w:t>
      </w:r>
    </w:p>
    <w:p w14:paraId="650046D8" w14:textId="77EC2DBD" w:rsidR="00C44233" w:rsidRDefault="005151EF" w:rsidP="003B64D2">
      <w:pPr>
        <w:pStyle w:val="ListParagraph"/>
        <w:numPr>
          <w:ilvl w:val="1"/>
          <w:numId w:val="2"/>
        </w:numPr>
        <w:rPr>
          <w:b/>
          <w:bCs/>
        </w:rPr>
      </w:pPr>
      <w:r>
        <w:rPr>
          <w:b/>
          <w:bCs/>
        </w:rPr>
        <w:t>TWU’</w:t>
      </w:r>
      <w:bookmarkStart w:id="3" w:name="_Hlk175256308"/>
      <w:r>
        <w:rPr>
          <w:b/>
          <w:bCs/>
        </w:rPr>
        <w:t xml:space="preserve">s </w:t>
      </w:r>
      <w:bookmarkStart w:id="4" w:name="_Hlk175256371"/>
      <w:r>
        <w:rPr>
          <w:b/>
          <w:bCs/>
        </w:rPr>
        <w:t xml:space="preserve">estimated bill calculation does not </w:t>
      </w:r>
      <w:r w:rsidR="0085426B">
        <w:rPr>
          <w:b/>
          <w:bCs/>
        </w:rPr>
        <w:t>prove</w:t>
      </w:r>
      <w:r>
        <w:rPr>
          <w:b/>
          <w:bCs/>
        </w:rPr>
        <w:t xml:space="preserve"> that the requested initial rates are reasonable and in the public interest</w:t>
      </w:r>
      <w:bookmarkEnd w:id="4"/>
      <w:r>
        <w:rPr>
          <w:b/>
          <w:bCs/>
        </w:rPr>
        <w:t>.</w:t>
      </w:r>
    </w:p>
    <w:bookmarkEnd w:id="3"/>
    <w:p w14:paraId="772B607E" w14:textId="77777777" w:rsidR="005151EF" w:rsidRDefault="005151EF" w:rsidP="005151EF">
      <w:pPr>
        <w:pStyle w:val="ListParagraph"/>
        <w:ind w:left="1440"/>
        <w:rPr>
          <w:b/>
          <w:bCs/>
        </w:rPr>
      </w:pPr>
    </w:p>
    <w:p w14:paraId="6330BD8E" w14:textId="6DB670BC" w:rsidR="005151EF" w:rsidRPr="005151EF" w:rsidRDefault="005151EF" w:rsidP="0085426B">
      <w:pPr>
        <w:spacing w:line="360" w:lineRule="auto"/>
        <w:ind w:firstLine="720"/>
      </w:pPr>
      <w:bookmarkStart w:id="5" w:name="_Hlk175260672"/>
      <w:r w:rsidRPr="005151EF">
        <w:t>TWU</w:t>
      </w:r>
      <w:r w:rsidR="00C574CA">
        <w:t xml:space="preserve"> Director of Rates and Regulatory Affairs Brian Bahr’s rebuttal testimony includes </w:t>
      </w:r>
      <w:r w:rsidR="00DF64D6">
        <w:t xml:space="preserve">ratemaking </w:t>
      </w:r>
      <w:r w:rsidR="00C574CA">
        <w:t>calculations that TWU believes demonstrate why TWU’s requested initial rates are in the public interest.</w:t>
      </w:r>
      <w:r w:rsidR="00C574CA">
        <w:rPr>
          <w:rStyle w:val="FootnoteReference"/>
        </w:rPr>
        <w:footnoteReference w:id="1"/>
      </w:r>
      <w:r w:rsidR="00C574CA">
        <w:t xml:space="preserve"> TWU’s</w:t>
      </w:r>
      <w:r w:rsidR="00C574CA" w:rsidRPr="005151EF">
        <w:t xml:space="preserve"> </w:t>
      </w:r>
      <w:r w:rsidRPr="005151EF">
        <w:t xml:space="preserve">initial brief suggests that </w:t>
      </w:r>
      <w:r w:rsidR="00C574CA">
        <w:t xml:space="preserve">those calculations, alongside the fact that no one contested </w:t>
      </w:r>
      <w:r w:rsidR="0085426B">
        <w:t xml:space="preserve">TWU’s request to use the fair market valuation process </w:t>
      </w:r>
      <w:r w:rsidR="00C574CA">
        <w:t>or the information in TWU</w:t>
      </w:r>
      <w:r w:rsidR="00DF64D6">
        <w:t>’</w:t>
      </w:r>
      <w:r w:rsidR="00C574CA">
        <w:t xml:space="preserve">s 2022 Annual Report, further show why TWU’s requested initial rates are in the public interest. </w:t>
      </w:r>
      <w:r w:rsidR="00C574CA">
        <w:lastRenderedPageBreak/>
        <w:t xml:space="preserve">However, the veracity of this contention is difficult to verify, </w:t>
      </w:r>
      <w:r w:rsidR="00DF64D6">
        <w:t xml:space="preserve">as Mr. Bahr’s calculations are not based on </w:t>
      </w:r>
      <w:r w:rsidR="002A0C99">
        <w:t>the Commission</w:t>
      </w:r>
      <w:r w:rsidR="00DF64D6">
        <w:t>’s rate-setting methodology for investor</w:t>
      </w:r>
      <w:r w:rsidR="0023727B">
        <w:t>-</w:t>
      </w:r>
      <w:r w:rsidR="00DF64D6">
        <w:t xml:space="preserve">owned </w:t>
      </w:r>
      <w:r w:rsidR="0023727B">
        <w:t xml:space="preserve">water and sewer </w:t>
      </w:r>
      <w:r w:rsidR="00DF64D6">
        <w:t>utilities</w:t>
      </w:r>
      <w:r w:rsidR="0023727B">
        <w:t>, as reflected in the Commission’s Class A investor-owned water and sewer utilities rate filing package</w:t>
      </w:r>
      <w:r w:rsidR="00DF64D6">
        <w:t>.</w:t>
      </w:r>
      <w:r w:rsidR="0023727B">
        <w:rPr>
          <w:rStyle w:val="FootnoteReference"/>
        </w:rPr>
        <w:footnoteReference w:id="2"/>
      </w:r>
      <w:r w:rsidR="00DF64D6">
        <w:t xml:space="preserve"> </w:t>
      </w:r>
      <w:r w:rsidR="00B9008B">
        <w:t xml:space="preserve">Without using </w:t>
      </w:r>
      <w:r w:rsidR="002A0C99">
        <w:t>the Commission</w:t>
      </w:r>
      <w:r w:rsidR="00B9008B">
        <w:t xml:space="preserve">’s rate-setting methodology to calculate an estimated monthly bill, Staff is unable to determine if Mr. Bahr’s calculations show that TWU’s requested initial rates are reasonable and in the public interest. </w:t>
      </w:r>
      <w:r w:rsidR="0023727B">
        <w:t>Further, a</w:t>
      </w:r>
      <w:r w:rsidR="00C574CA">
        <w:t>s this</w:t>
      </w:r>
      <w:r w:rsidR="00FD798E">
        <w:t xml:space="preserve"> proceeding</w:t>
      </w:r>
      <w:r w:rsidR="00C574CA">
        <w:t xml:space="preserve"> is not a comprehensive rate case, and </w:t>
      </w:r>
      <w:r w:rsidR="0023727B">
        <w:t xml:space="preserve">the Commission </w:t>
      </w:r>
      <w:r w:rsidR="00C574CA">
        <w:t>is</w:t>
      </w:r>
      <w:r w:rsidR="00FD798E">
        <w:t xml:space="preserve"> prohibited from</w:t>
      </w:r>
      <w:r w:rsidR="00C574CA">
        <w:t xml:space="preserve"> </w:t>
      </w:r>
      <w:r w:rsidR="00FD798E">
        <w:t>initiating a rate proceeding to establish the initial rates for service,</w:t>
      </w:r>
      <w:r w:rsidR="00FD798E">
        <w:rPr>
          <w:rStyle w:val="FootnoteReference"/>
        </w:rPr>
        <w:footnoteReference w:id="3"/>
      </w:r>
      <w:r w:rsidR="007E3817">
        <w:t xml:space="preserve"> Staff cannot require TWU to complete the Commission’s Class A investor-owned water and sewer utilities rate filing package to determine if TWU’s requested initial rates are just and reasonable. Instead, Staff may consider the factors in </w:t>
      </w:r>
      <w:r w:rsidR="00FB3B48">
        <w:t>Texas Water Code (</w:t>
      </w:r>
      <w:r w:rsidR="007E3817">
        <w:t>TWC</w:t>
      </w:r>
      <w:r w:rsidR="00FB3B48">
        <w:t>)</w:t>
      </w:r>
      <w:r w:rsidR="007E3817">
        <w:t xml:space="preserve"> § 13.246(c)</w:t>
      </w:r>
      <w:r w:rsidR="00FB3B48">
        <w:t xml:space="preserve"> and 16 Texas Administrative Code § 24.239(h)(5)(H) when evaluating if a proposed transaction, including a request for initial rates under TWC § 13.3011, is in the public interest. </w:t>
      </w:r>
    </w:p>
    <w:bookmarkEnd w:id="5"/>
    <w:p w14:paraId="7B4BA33B" w14:textId="77777777" w:rsidR="005151EF" w:rsidRDefault="005151EF" w:rsidP="005151EF">
      <w:pPr>
        <w:pStyle w:val="ListParagraph"/>
        <w:ind w:left="1440"/>
        <w:rPr>
          <w:b/>
          <w:bCs/>
        </w:rPr>
      </w:pPr>
    </w:p>
    <w:p w14:paraId="7119CE4A" w14:textId="5EA7C368" w:rsidR="004C516C" w:rsidRDefault="004C516C" w:rsidP="003B64D2">
      <w:pPr>
        <w:pStyle w:val="ListParagraph"/>
        <w:numPr>
          <w:ilvl w:val="1"/>
          <w:numId w:val="2"/>
        </w:numPr>
        <w:rPr>
          <w:b/>
          <w:bCs/>
        </w:rPr>
      </w:pPr>
      <w:bookmarkStart w:id="6" w:name="_Hlk175256513"/>
      <w:r>
        <w:rPr>
          <w:b/>
          <w:bCs/>
        </w:rPr>
        <w:t xml:space="preserve">Approving either TWU’s requested initial rates or the Villas of </w:t>
      </w:r>
      <w:proofErr w:type="spellStart"/>
      <w:r>
        <w:rPr>
          <w:b/>
          <w:bCs/>
        </w:rPr>
        <w:t>Willowbrook</w:t>
      </w:r>
      <w:proofErr w:type="spellEnd"/>
      <w:r>
        <w:rPr>
          <w:b/>
          <w:bCs/>
        </w:rPr>
        <w:t xml:space="preserve"> phased rate schedule is consistent with TWC § 13.190 and the Third Court of Appeals’ interpretation of a similar provision of the Gas Utility Regulatory Act (GURA).</w:t>
      </w:r>
    </w:p>
    <w:bookmarkEnd w:id="6"/>
    <w:p w14:paraId="3F0D5DB6" w14:textId="77777777" w:rsidR="004C516C" w:rsidRDefault="004C516C" w:rsidP="004C516C">
      <w:pPr>
        <w:jc w:val="left"/>
      </w:pPr>
    </w:p>
    <w:p w14:paraId="549A6966" w14:textId="77777777" w:rsidR="00D2720A" w:rsidRDefault="004C516C" w:rsidP="004C516C">
      <w:pPr>
        <w:spacing w:line="360" w:lineRule="auto"/>
        <w:ind w:firstLine="720"/>
      </w:pPr>
      <w:r>
        <w:t xml:space="preserve">TWU’s initial brief states that “a decision to approve initial rates that differ from the initial rates requested by TWU would contravene TWC § 13.190 and the holding in </w:t>
      </w:r>
      <w:r w:rsidRPr="004C516C">
        <w:rPr>
          <w:i/>
          <w:iCs/>
        </w:rPr>
        <w:t>Entex, a Division of Reliant Energy Resources Corp. v. Railroad Commission of Texas</w:t>
      </w:r>
      <w:r>
        <w:t>.”</w:t>
      </w:r>
      <w:r>
        <w:rPr>
          <w:rStyle w:val="FootnoteReference"/>
        </w:rPr>
        <w:footnoteReference w:id="4"/>
      </w:r>
      <w:r>
        <w:t xml:space="preserve"> However, this is not true. </w:t>
      </w:r>
      <w:r w:rsidR="0082504D">
        <w:t xml:space="preserve">While approval of TWU’s requested initial rates would be consistent with TWC § 13.190 and the </w:t>
      </w:r>
      <w:r w:rsidR="0082504D" w:rsidRPr="0082504D">
        <w:rPr>
          <w:i/>
          <w:iCs/>
        </w:rPr>
        <w:t>Entex</w:t>
      </w:r>
      <w:r w:rsidR="0082504D">
        <w:t xml:space="preserve"> decision, approval of the Villas of </w:t>
      </w:r>
      <w:proofErr w:type="spellStart"/>
      <w:r w:rsidR="0082504D">
        <w:t>Willowbrook</w:t>
      </w:r>
      <w:proofErr w:type="spellEnd"/>
      <w:r w:rsidR="0082504D">
        <w:t xml:space="preserve"> phased rate schedule </w:t>
      </w:r>
      <w:r w:rsidR="00D2720A">
        <w:t xml:space="preserve">would be too. </w:t>
      </w:r>
    </w:p>
    <w:p w14:paraId="6C9A3621" w14:textId="62182D9A" w:rsidR="004C516C" w:rsidRDefault="004C516C" w:rsidP="004C516C">
      <w:pPr>
        <w:spacing w:line="360" w:lineRule="auto"/>
        <w:ind w:firstLine="720"/>
      </w:pPr>
      <w:r>
        <w:t>TWC § 13.190</w:t>
      </w:r>
      <w:r w:rsidR="003B64D2">
        <w:t xml:space="preserve"> prohibits utilities from charging rates other than those included in a rate schedule. Similarly, in </w:t>
      </w:r>
      <w:r w:rsidR="003B64D2" w:rsidRPr="003B64D2">
        <w:rPr>
          <w:i/>
          <w:iCs/>
        </w:rPr>
        <w:t>Entex</w:t>
      </w:r>
      <w:r w:rsidR="003B64D2">
        <w:t>, the Third Court of Appeals</w:t>
      </w:r>
      <w:r w:rsidR="0082504D">
        <w:t xml:space="preserve"> held that the filed rate doctrine</w:t>
      </w:r>
      <w:r w:rsidR="003B64D2">
        <w:t xml:space="preserve"> </w:t>
      </w:r>
      <w:r w:rsidR="0082504D">
        <w:t>prohibited Entex from charging rates established for another utility.</w:t>
      </w:r>
      <w:r w:rsidR="0082504D">
        <w:rPr>
          <w:rStyle w:val="FootnoteReference"/>
        </w:rPr>
        <w:footnoteReference w:id="5"/>
      </w:r>
      <w:r w:rsidR="0082504D">
        <w:t xml:space="preserve"> As the Villas of </w:t>
      </w:r>
      <w:proofErr w:type="spellStart"/>
      <w:r w:rsidR="0082504D">
        <w:t>Willowbrook</w:t>
      </w:r>
      <w:proofErr w:type="spellEnd"/>
      <w:r w:rsidR="0082504D">
        <w:t xml:space="preserve"> phased rates are authorized rates included in TWU’s Commission-approved tariff, adoption of the Villas </w:t>
      </w:r>
      <w:r w:rsidR="0082504D">
        <w:lastRenderedPageBreak/>
        <w:t xml:space="preserve">of </w:t>
      </w:r>
      <w:proofErr w:type="spellStart"/>
      <w:r w:rsidR="0082504D">
        <w:t>Willowbrook</w:t>
      </w:r>
      <w:proofErr w:type="spellEnd"/>
      <w:r w:rsidR="0082504D">
        <w:t xml:space="preserve"> phased rates is also consistent with TWC § 13.190, the filed rate doctrine, and the </w:t>
      </w:r>
      <w:r w:rsidR="0082504D" w:rsidRPr="0082504D">
        <w:rPr>
          <w:i/>
          <w:iCs/>
        </w:rPr>
        <w:t>Entex</w:t>
      </w:r>
      <w:r w:rsidR="0082504D">
        <w:t xml:space="preserve"> decision.</w:t>
      </w:r>
    </w:p>
    <w:p w14:paraId="69429F2D" w14:textId="3D4701AD" w:rsidR="00D2720A" w:rsidRDefault="00D2720A" w:rsidP="00CE2708">
      <w:pPr>
        <w:spacing w:after="120" w:line="360" w:lineRule="auto"/>
        <w:ind w:firstLine="720"/>
      </w:pPr>
      <w:r>
        <w:t>As provided in TWC § 13.3011 and as stated in the Preliminary Order</w:t>
      </w:r>
      <w:r>
        <w:rPr>
          <w:rStyle w:val="FootnoteReference"/>
        </w:rPr>
        <w:footnoteReference w:id="6"/>
      </w:r>
      <w:r>
        <w:t xml:space="preserve"> in this proceeding, the Commission is not required to grant a utility’s request to charge its existing rates in a newly acquired utility’s service area.</w:t>
      </w:r>
      <w:r w:rsidR="003110C1">
        <w:t xml:space="preserve"> Instead, the Commission may decide </w:t>
      </w:r>
      <w:proofErr w:type="gramStart"/>
      <w:r w:rsidR="003110C1">
        <w:t>whether or not</w:t>
      </w:r>
      <w:proofErr w:type="gramEnd"/>
      <w:r w:rsidR="003110C1">
        <w:t xml:space="preserve"> to grant such a request on a case-by-case basis.</w:t>
      </w:r>
      <w:r w:rsidR="003110C1">
        <w:rPr>
          <w:rStyle w:val="FootnoteReference"/>
        </w:rPr>
        <w:footnoteReference w:id="7"/>
      </w:r>
    </w:p>
    <w:p w14:paraId="0BC6EB85" w14:textId="5B83AEF3" w:rsidR="007C5D66" w:rsidRDefault="007C5D66" w:rsidP="00CE5575">
      <w:pPr>
        <w:pStyle w:val="ListParagraph"/>
        <w:numPr>
          <w:ilvl w:val="1"/>
          <w:numId w:val="2"/>
        </w:numPr>
        <w:rPr>
          <w:b/>
          <w:bCs/>
        </w:rPr>
      </w:pPr>
      <w:bookmarkStart w:id="7" w:name="_Hlk175256599"/>
      <w:r>
        <w:rPr>
          <w:b/>
          <w:bCs/>
        </w:rPr>
        <w:t xml:space="preserve">The Villas of </w:t>
      </w:r>
      <w:proofErr w:type="spellStart"/>
      <w:r>
        <w:rPr>
          <w:b/>
          <w:bCs/>
        </w:rPr>
        <w:t>Willowbrook</w:t>
      </w:r>
      <w:proofErr w:type="spellEnd"/>
      <w:r>
        <w:rPr>
          <w:b/>
          <w:bCs/>
        </w:rPr>
        <w:t xml:space="preserve"> phased rate schedule is an available tool to moderate the effects of the rate increase for Southern Horizons customers.</w:t>
      </w:r>
    </w:p>
    <w:bookmarkEnd w:id="7"/>
    <w:p w14:paraId="2F4A89AF" w14:textId="77777777" w:rsidR="007C5D66" w:rsidRDefault="007C5D66" w:rsidP="007C5D66">
      <w:pPr>
        <w:rPr>
          <w:b/>
          <w:bCs/>
        </w:rPr>
      </w:pPr>
    </w:p>
    <w:p w14:paraId="5427CFBC" w14:textId="45BC89D4" w:rsidR="00794CB4" w:rsidRDefault="00D63817" w:rsidP="007C5D66">
      <w:pPr>
        <w:spacing w:line="360" w:lineRule="auto"/>
        <w:ind w:firstLine="720"/>
      </w:pPr>
      <w:r>
        <w:t xml:space="preserve">Staff maintains that the Villas of </w:t>
      </w:r>
      <w:proofErr w:type="spellStart"/>
      <w:r>
        <w:t>Willowbrook</w:t>
      </w:r>
      <w:proofErr w:type="spellEnd"/>
      <w:r>
        <w:t xml:space="preserve"> </w:t>
      </w:r>
      <w:r w:rsidR="007911AC">
        <w:t xml:space="preserve">phased rate schedule </w:t>
      </w:r>
      <w:r>
        <w:t>is a viable option that</w:t>
      </w:r>
      <w:r w:rsidR="007911AC">
        <w:t>, if implemented,</w:t>
      </w:r>
      <w:r>
        <w:t xml:space="preserve"> will moderate the effects of the rate increase for Southern Horizons customers. </w:t>
      </w:r>
      <w:r w:rsidR="007C5D66" w:rsidRPr="007C5D66">
        <w:t>TWU’s</w:t>
      </w:r>
      <w:r w:rsidR="007C5D66">
        <w:t xml:space="preserve"> initial brief states that the “record evidence does not support the conclusion that approving a phased-in rate schedule for the Southern Horizons customers is the best or only solution available to mitigate the impact to customer bills.”</w:t>
      </w:r>
      <w:r w:rsidR="00A466A4">
        <w:rPr>
          <w:rStyle w:val="FootnoteReference"/>
        </w:rPr>
        <w:footnoteReference w:id="8"/>
      </w:r>
      <w:r w:rsidR="007C5D66">
        <w:t xml:space="preserve"> While it is true that the Villas of </w:t>
      </w:r>
      <w:proofErr w:type="spellStart"/>
      <w:r w:rsidR="007C5D66">
        <w:t>Willowbrook</w:t>
      </w:r>
      <w:proofErr w:type="spellEnd"/>
      <w:r w:rsidR="007C5D66">
        <w:t xml:space="preserve"> phased rate schedule is not the only solution </w:t>
      </w:r>
      <w:r w:rsidR="00A466A4">
        <w:t>available for Southern Horizons customers</w:t>
      </w:r>
      <w:r w:rsidR="007C5D66">
        <w:t xml:space="preserve">, it is the only </w:t>
      </w:r>
      <w:r w:rsidR="00695831">
        <w:t>option</w:t>
      </w:r>
      <w:r w:rsidR="007C5D66">
        <w:t xml:space="preserve"> available </w:t>
      </w:r>
      <w:r w:rsidR="00A466A4">
        <w:t>for</w:t>
      </w:r>
      <w:r w:rsidR="007C5D66">
        <w:t xml:space="preserve"> </w:t>
      </w:r>
      <w:r w:rsidR="00A466A4" w:rsidRPr="00E109D6">
        <w:rPr>
          <w:i/>
          <w:iCs/>
        </w:rPr>
        <w:t>all</w:t>
      </w:r>
      <w:r w:rsidR="00A466A4">
        <w:t xml:space="preserve"> Southern Horizons customers.</w:t>
      </w:r>
      <w:r w:rsidR="007C5D66">
        <w:t xml:space="preserve"> </w:t>
      </w:r>
      <w:r w:rsidR="00C574CA">
        <w:t>Mr.</w:t>
      </w:r>
      <w:r w:rsidR="005472CB">
        <w:t xml:space="preserve"> Bahr’s rebuttal testimony includes</w:t>
      </w:r>
      <w:r w:rsidR="00E109D6">
        <w:t xml:space="preserve"> customer assistance programs like the Low-Income Household Water Assistance Program</w:t>
      </w:r>
      <w:r w:rsidR="00794CB4">
        <w:t xml:space="preserve"> (LIHWAP)</w:t>
      </w:r>
      <w:r w:rsidR="00E109D6">
        <w:t>, and TWU’s Elderly Assist Rates and Water Assist program</w:t>
      </w:r>
      <w:r w:rsidR="00794CB4">
        <w:t>s</w:t>
      </w:r>
      <w:r w:rsidR="00E109D6">
        <w:t>,</w:t>
      </w:r>
      <w:r w:rsidR="00E109D6">
        <w:rPr>
          <w:rStyle w:val="FootnoteReference"/>
        </w:rPr>
        <w:footnoteReference w:id="9"/>
      </w:r>
      <w:r w:rsidR="00E109D6">
        <w:t xml:space="preserve"> which </w:t>
      </w:r>
      <w:r>
        <w:t>are</w:t>
      </w:r>
      <w:r w:rsidR="00E109D6">
        <w:t xml:space="preserve"> useful tools for assisting some of TWU’s customers</w:t>
      </w:r>
      <w:r w:rsidR="00B536D1">
        <w:t>, but not available to all customers</w:t>
      </w:r>
      <w:r w:rsidR="009B3782">
        <w:t>.</w:t>
      </w:r>
      <w:r w:rsidR="00B536D1">
        <w:t xml:space="preserve"> Intervenor Anna Miller</w:t>
      </w:r>
      <w:r w:rsidR="00695831">
        <w:t xml:space="preserve"> expressed concerns about </w:t>
      </w:r>
      <w:r w:rsidR="00794CB4">
        <w:t>Southern Horizons customers’ ineligibility to qualify for LIHWAP or TWU’s Water Assist program due to their household income being just above the qualifying threshold</w:t>
      </w:r>
      <w:r w:rsidR="00365522">
        <w:t>s</w:t>
      </w:r>
      <w:r w:rsidR="00794CB4">
        <w:t xml:space="preserve">, yet </w:t>
      </w:r>
      <w:r w:rsidR="00365522">
        <w:t>the increased rates still being a hardship for Southern Horizons ratepayers.</w:t>
      </w:r>
      <w:r w:rsidR="00794CB4">
        <w:rPr>
          <w:rStyle w:val="FootnoteReference"/>
        </w:rPr>
        <w:footnoteReference w:id="10"/>
      </w:r>
    </w:p>
    <w:p w14:paraId="0694826A" w14:textId="2B2D5014" w:rsidR="007C5D66" w:rsidRPr="007C5D66" w:rsidRDefault="00794CB4" w:rsidP="004F0BAB">
      <w:pPr>
        <w:spacing w:after="120" w:line="360" w:lineRule="auto"/>
        <w:ind w:firstLine="720"/>
      </w:pPr>
      <w:r>
        <w:t>T</w:t>
      </w:r>
      <w:r w:rsidR="009B3782">
        <w:t xml:space="preserve">he record evidence does not establish any of these programs as </w:t>
      </w:r>
      <w:r w:rsidR="009B3782" w:rsidRPr="00D63817">
        <w:t>the</w:t>
      </w:r>
      <w:r w:rsidR="009B3782" w:rsidRPr="009B3782">
        <w:rPr>
          <w:i/>
          <w:iCs/>
        </w:rPr>
        <w:t xml:space="preserve"> best</w:t>
      </w:r>
      <w:r w:rsidR="009B3782">
        <w:t xml:space="preserve"> solution available to mitigate the impact</w:t>
      </w:r>
      <w:r w:rsidR="00D63817">
        <w:t xml:space="preserve"> of the rate increase</w:t>
      </w:r>
      <w:r w:rsidR="009B3782">
        <w:t xml:space="preserve"> to customer bills. </w:t>
      </w:r>
      <w:r w:rsidR="00D63817">
        <w:t>Instead</w:t>
      </w:r>
      <w:r w:rsidR="00A466A4">
        <w:t>,</w:t>
      </w:r>
      <w:r w:rsidR="00D63817">
        <w:t xml:space="preserve"> both the programs detailed</w:t>
      </w:r>
      <w:r w:rsidR="00A466A4">
        <w:t xml:space="preserve"> by </w:t>
      </w:r>
      <w:r w:rsidR="005472CB">
        <w:t>Mr.</w:t>
      </w:r>
      <w:r w:rsidR="00A466A4">
        <w:t xml:space="preserve"> Bahr and </w:t>
      </w:r>
      <w:r w:rsidR="00D63817">
        <w:t xml:space="preserve">the potential implementation of the Villas of </w:t>
      </w:r>
      <w:proofErr w:type="spellStart"/>
      <w:r w:rsidR="00D63817">
        <w:t>Willowbrook</w:t>
      </w:r>
      <w:proofErr w:type="spellEnd"/>
      <w:r w:rsidR="00D63817">
        <w:t xml:space="preserve"> phased rate schedule</w:t>
      </w:r>
      <w:r w:rsidR="007F46A5">
        <w:t xml:space="preserve"> </w:t>
      </w:r>
      <w:r w:rsidR="007F46A5">
        <w:lastRenderedPageBreak/>
        <w:t>recommended by</w:t>
      </w:r>
      <w:r w:rsidR="00D63817">
        <w:t xml:space="preserve"> </w:t>
      </w:r>
      <w:r w:rsidR="00A466A4">
        <w:t>Staff Infrastructure Analyst James Harville</w:t>
      </w:r>
      <w:r w:rsidR="00CE5575">
        <w:t xml:space="preserve"> </w:t>
      </w:r>
      <w:r w:rsidR="007F46A5">
        <w:t>are</w:t>
      </w:r>
      <w:r w:rsidR="00CE5575">
        <w:t xml:space="preserve"> options available for moderating the effects of the rate increase for Southern Horizons customers.</w:t>
      </w:r>
    </w:p>
    <w:p w14:paraId="00704B0E" w14:textId="784EB740" w:rsidR="005472CB" w:rsidRDefault="005472CB" w:rsidP="008C4C59">
      <w:pPr>
        <w:pStyle w:val="ListParagraph"/>
        <w:numPr>
          <w:ilvl w:val="1"/>
          <w:numId w:val="2"/>
        </w:numPr>
        <w:rPr>
          <w:b/>
          <w:bCs/>
        </w:rPr>
      </w:pPr>
      <w:bookmarkStart w:id="8" w:name="_Hlk175256708"/>
      <w:r>
        <w:rPr>
          <w:b/>
          <w:bCs/>
        </w:rPr>
        <w:t xml:space="preserve">Staff’s testimony adequately analyzes the public interest factors in 16 TAC § 24.239 and sufficiently supports Staff’s recommendation supporting TWU’s request for initial rates or alternatively, adoption of the Villas of </w:t>
      </w:r>
      <w:proofErr w:type="spellStart"/>
      <w:r>
        <w:rPr>
          <w:b/>
          <w:bCs/>
        </w:rPr>
        <w:t>Willowbrook</w:t>
      </w:r>
      <w:proofErr w:type="spellEnd"/>
      <w:r>
        <w:rPr>
          <w:b/>
          <w:bCs/>
        </w:rPr>
        <w:t xml:space="preserve"> phased rate schedule. </w:t>
      </w:r>
    </w:p>
    <w:bookmarkEnd w:id="8"/>
    <w:p w14:paraId="400C6A3E" w14:textId="77777777" w:rsidR="008C4C59" w:rsidRDefault="008C4C59" w:rsidP="008C4C59">
      <w:pPr>
        <w:rPr>
          <w:b/>
          <w:bCs/>
        </w:rPr>
      </w:pPr>
    </w:p>
    <w:p w14:paraId="0C9C7025" w14:textId="2FE4CB71" w:rsidR="00B536D1" w:rsidRPr="008C4C59" w:rsidRDefault="008C4C59" w:rsidP="000467F9">
      <w:pPr>
        <w:spacing w:after="120" w:line="360" w:lineRule="auto"/>
        <w:ind w:firstLine="720"/>
      </w:pPr>
      <w:r w:rsidRPr="008C4C59">
        <w:t xml:space="preserve">TWU’s initial brief </w:t>
      </w:r>
      <w:r w:rsidR="00E44D35">
        <w:t xml:space="preserve">questions the validity of Mr. Harville’s testimony in this proceeding </w:t>
      </w:r>
      <w:r w:rsidR="00A61BCB">
        <w:t>because he is not</w:t>
      </w:r>
      <w:r w:rsidR="00E44D35">
        <w:t xml:space="preserve"> “a water ratemaking expert”.</w:t>
      </w:r>
      <w:r w:rsidR="00E44D35">
        <w:rPr>
          <w:rStyle w:val="FootnoteReference"/>
        </w:rPr>
        <w:footnoteReference w:id="11"/>
      </w:r>
      <w:r w:rsidR="00E44D35">
        <w:t xml:space="preserve"> </w:t>
      </w:r>
      <w:r w:rsidR="000E6834">
        <w:t>However, this proceeding is not a water rate case. Mr. Harville’s review of TWU’s application considered the statutes and rules applicable to sale, transfer, or merger proceedings.</w:t>
      </w:r>
      <w:r w:rsidR="000E6834">
        <w:rPr>
          <w:rStyle w:val="FootnoteReference"/>
        </w:rPr>
        <w:footnoteReference w:id="12"/>
      </w:r>
      <w:r w:rsidR="000E6834">
        <w:t xml:space="preserve"> </w:t>
      </w:r>
      <w:r w:rsidR="00F912ED">
        <w:t xml:space="preserve">Specifically, TWC 13.246(c) and 16 TAC § 24.239(h)(5) list public interest factors the Commission </w:t>
      </w:r>
      <w:r w:rsidR="00F35D13">
        <w:t>shall</w:t>
      </w:r>
      <w:r w:rsidR="00F912ED">
        <w:t xml:space="preserve"> consider when evaluating whether this proceeding serves the public interest. </w:t>
      </w:r>
      <w:r w:rsidR="007E4D58">
        <w:t xml:space="preserve">Amongst other factors, Mr. Harville evaluated the probable improvement or lowering of cost to customers, and determined that given the then-active </w:t>
      </w:r>
      <w:r w:rsidR="005D72D7">
        <w:t>Texas Commission on Environmental Quality (</w:t>
      </w:r>
      <w:r w:rsidR="007E4D58">
        <w:t>TCEQ</w:t>
      </w:r>
      <w:r w:rsidR="005D72D7">
        <w:t>)</w:t>
      </w:r>
      <w:r w:rsidR="007E4D58">
        <w:t xml:space="preserve"> capacity violations, the rate change was potentially necessary.</w:t>
      </w:r>
      <w:r w:rsidR="007E4D58">
        <w:rPr>
          <w:rStyle w:val="FootnoteReference"/>
        </w:rPr>
        <w:footnoteReference w:id="13"/>
      </w:r>
      <w:r w:rsidR="005D72D7">
        <w:t xml:space="preserve"> However, after determining that all TCEQ capacity violations had been resolved by Southern Horizons, Mr. Harville found that no capital improvements were required to address the now closed TCEQ </w:t>
      </w:r>
      <w:r w:rsidR="008D3A71">
        <w:t xml:space="preserve">capacity </w:t>
      </w:r>
      <w:r w:rsidR="005D72D7">
        <w:t>violations.</w:t>
      </w:r>
      <w:r w:rsidR="005D72D7">
        <w:rPr>
          <w:rStyle w:val="FootnoteReference"/>
        </w:rPr>
        <w:footnoteReference w:id="14"/>
      </w:r>
      <w:r w:rsidR="000467F9">
        <w:t xml:space="preserve"> The record evidence shows that Mr. Harville addressed each public interest factor to be considered, and developed his recommendation to approve TWU’s request for initial rates or alternatively implement the Villas of </w:t>
      </w:r>
      <w:proofErr w:type="spellStart"/>
      <w:r w:rsidR="000467F9">
        <w:t>Willowbrook</w:t>
      </w:r>
      <w:proofErr w:type="spellEnd"/>
      <w:r w:rsidR="000467F9">
        <w:t xml:space="preserve"> phased rate schedule after thoughtful review and analysis. </w:t>
      </w:r>
    </w:p>
    <w:p w14:paraId="6D06A48B" w14:textId="79170C3A" w:rsidR="001121E2" w:rsidRDefault="001121E2" w:rsidP="001121E2">
      <w:pPr>
        <w:pStyle w:val="ListParagraph"/>
        <w:numPr>
          <w:ilvl w:val="1"/>
          <w:numId w:val="2"/>
        </w:numPr>
        <w:rPr>
          <w:b/>
          <w:bCs/>
        </w:rPr>
      </w:pPr>
      <w:r>
        <w:rPr>
          <w:b/>
          <w:bCs/>
        </w:rPr>
        <w:t xml:space="preserve">The Commission addresses </w:t>
      </w:r>
      <w:proofErr w:type="gramStart"/>
      <w:r>
        <w:rPr>
          <w:b/>
          <w:bCs/>
        </w:rPr>
        <w:t>whether or not</w:t>
      </w:r>
      <w:proofErr w:type="gramEnd"/>
      <w:r>
        <w:rPr>
          <w:b/>
          <w:bCs/>
        </w:rPr>
        <w:t xml:space="preserve"> to grant an acquiring utility’s request to charge its existing rates on a case-by-case basis. </w:t>
      </w:r>
    </w:p>
    <w:p w14:paraId="5C15CAEB" w14:textId="77777777" w:rsidR="00FC3AAF" w:rsidRDefault="00FC3AAF" w:rsidP="00FC3AAF">
      <w:pPr>
        <w:rPr>
          <w:b/>
          <w:bCs/>
        </w:rPr>
      </w:pPr>
    </w:p>
    <w:p w14:paraId="73698C36" w14:textId="4A057DAF" w:rsidR="00556AF9" w:rsidRDefault="00E36726" w:rsidP="007911AC">
      <w:pPr>
        <w:spacing w:line="360" w:lineRule="auto"/>
        <w:ind w:firstLine="720"/>
      </w:pPr>
      <w:r>
        <w:t>The Commission may determine to grant a request for initial rates under TWC § 13.3011</w:t>
      </w:r>
      <w:r w:rsidR="005860EA">
        <w:t xml:space="preserve"> </w:t>
      </w:r>
      <w:r>
        <w:t>on a case-by-case basis</w:t>
      </w:r>
      <w:r w:rsidR="005860EA">
        <w:t>.</w:t>
      </w:r>
      <w:r w:rsidR="005860EA">
        <w:rPr>
          <w:rStyle w:val="FootnoteReference"/>
        </w:rPr>
        <w:footnoteReference w:id="15"/>
      </w:r>
      <w:r w:rsidR="005860EA">
        <w:t xml:space="preserve"> </w:t>
      </w:r>
      <w:r w:rsidR="00FC3AAF" w:rsidRPr="00FC3AAF">
        <w:t>TWU’s initial brief argues that its requested initial rates should be adopted</w:t>
      </w:r>
      <w:r w:rsidR="00FC3AAF">
        <w:t xml:space="preserve"> due to the Commission’s decision in CSWR-Texas Utility Operating Company’s (CSWR-</w:t>
      </w:r>
      <w:r w:rsidR="00FC3AAF">
        <w:lastRenderedPageBreak/>
        <w:t>Texas) comprehensive base rate case.</w:t>
      </w:r>
      <w:r w:rsidR="00F245A3">
        <w:rPr>
          <w:rStyle w:val="FootnoteReference"/>
        </w:rPr>
        <w:footnoteReference w:id="16"/>
      </w:r>
      <w:r w:rsidR="00E44D35">
        <w:t xml:space="preserve"> </w:t>
      </w:r>
      <w:r w:rsidR="00E179BF">
        <w:t>This assertion</w:t>
      </w:r>
      <w:r w:rsidR="00E44D35">
        <w:t xml:space="preserve"> overlook</w:t>
      </w:r>
      <w:r w:rsidR="00E179BF">
        <w:t>s</w:t>
      </w:r>
      <w:r w:rsidR="00E44D35">
        <w:t xml:space="preserve"> the fact that this proceeding involves a sale, transfer, or merger application </w:t>
      </w:r>
      <w:r w:rsidR="005860EA">
        <w:t xml:space="preserve">between two retail public utilities </w:t>
      </w:r>
      <w:r w:rsidR="00E44D35">
        <w:t>and not a comprehensive base rate case</w:t>
      </w:r>
      <w:r w:rsidR="000B55E4">
        <w:t xml:space="preserve"> consolidating 62 water and 12 sewer systems</w:t>
      </w:r>
      <w:r w:rsidR="00E179BF">
        <w:t>.</w:t>
      </w:r>
      <w:r w:rsidR="00E44D35">
        <w:t xml:space="preserve"> </w:t>
      </w:r>
      <w:r w:rsidR="00E179BF">
        <w:t>Any precedential value that</w:t>
      </w:r>
      <w:r w:rsidR="005860EA">
        <w:t xml:space="preserve"> CSWR-Texas’s recent comprehensive base rate case </w:t>
      </w:r>
      <w:r w:rsidR="00E179BF">
        <w:t xml:space="preserve">has for this sale, transfer, or merger proceeding is minimal at best, due to the differences in fact and </w:t>
      </w:r>
      <w:r w:rsidR="00C056BB">
        <w:t xml:space="preserve">applicable </w:t>
      </w:r>
      <w:r w:rsidR="00E179BF">
        <w:t xml:space="preserve">law between the two proceedings. </w:t>
      </w:r>
      <w:r w:rsidR="00C056BB">
        <w:t>The Commission’s decision t</w:t>
      </w:r>
      <w:r w:rsidR="000A7556">
        <w:t xml:space="preserve">hat phased-in rates were not necessary in </w:t>
      </w:r>
      <w:r w:rsidR="00C056BB">
        <w:t>CSWR-Texas’s comprehensive base rate case</w:t>
      </w:r>
      <w:r w:rsidR="00767CF3">
        <w:t xml:space="preserve"> </w:t>
      </w:r>
      <w:r w:rsidR="000A7556">
        <w:t xml:space="preserve">does not necessarily support a finding that phased-in rates are not in the public interest in this </w:t>
      </w:r>
      <w:r w:rsidR="00F30DAF">
        <w:t xml:space="preserve">or other </w:t>
      </w:r>
      <w:r w:rsidR="000A7556">
        <w:t>proceeding</w:t>
      </w:r>
      <w:r w:rsidR="00F30DAF">
        <w:t>s</w:t>
      </w:r>
      <w:r w:rsidR="000A7556">
        <w:t xml:space="preserve">. </w:t>
      </w:r>
    </w:p>
    <w:p w14:paraId="33E6BE1D" w14:textId="77777777" w:rsidR="007911AC" w:rsidRPr="007911AC" w:rsidRDefault="007911AC" w:rsidP="007911AC">
      <w:pPr>
        <w:spacing w:line="360" w:lineRule="auto"/>
        <w:ind w:firstLine="720"/>
      </w:pPr>
    </w:p>
    <w:p w14:paraId="424F49B9" w14:textId="77777777" w:rsidR="00556AF9" w:rsidRDefault="00556AF9" w:rsidP="00556AF9">
      <w:pPr>
        <w:pStyle w:val="ListParagraph"/>
        <w:numPr>
          <w:ilvl w:val="0"/>
          <w:numId w:val="1"/>
        </w:numPr>
        <w:jc w:val="center"/>
        <w:rPr>
          <w:b/>
          <w:bCs/>
        </w:rPr>
      </w:pPr>
      <w:r>
        <w:rPr>
          <w:b/>
          <w:bCs/>
        </w:rPr>
        <w:t>CONCLUSION</w:t>
      </w:r>
    </w:p>
    <w:p w14:paraId="76CC236F" w14:textId="77777777" w:rsidR="00556AF9" w:rsidRDefault="00556AF9" w:rsidP="00556AF9">
      <w:pPr>
        <w:jc w:val="center"/>
        <w:rPr>
          <w:b/>
          <w:bCs/>
        </w:rPr>
      </w:pPr>
    </w:p>
    <w:p w14:paraId="10784260" w14:textId="77777777" w:rsidR="00556AF9" w:rsidRDefault="00556AF9" w:rsidP="00556AF9">
      <w:pPr>
        <w:spacing w:line="360" w:lineRule="auto"/>
        <w:ind w:firstLine="720"/>
      </w:pPr>
      <w:r>
        <w:t xml:space="preserve">In sum, Staff recommends that the transaction will serve the public interest. Staff additionally recommends that TWU’s request for initial rates be granted, or alternatively, that the Villas of </w:t>
      </w:r>
      <w:proofErr w:type="spellStart"/>
      <w:r>
        <w:t>Willowbrook</w:t>
      </w:r>
      <w:proofErr w:type="spellEnd"/>
      <w:r>
        <w:t xml:space="preserve"> phased rate schedule be implemented. For the foregoing reasons, Staff respectfully requests the issuance of a PFD consistent with Staff’s recommendations.</w:t>
      </w:r>
    </w:p>
    <w:p w14:paraId="709729D3" w14:textId="77777777" w:rsidR="00556AF9" w:rsidRPr="007A0CA1" w:rsidRDefault="00556AF9" w:rsidP="00556AF9">
      <w:pPr>
        <w:spacing w:line="360" w:lineRule="auto"/>
      </w:pPr>
    </w:p>
    <w:p w14:paraId="722C7265" w14:textId="77777777" w:rsidR="00556AF9" w:rsidRDefault="00556AF9" w:rsidP="00556AF9">
      <w:pPr>
        <w:pStyle w:val="CaseCaption"/>
      </w:pPr>
      <w:r>
        <w:t>SOAH Docket no. 473-24-13127.WS</w:t>
      </w:r>
    </w:p>
    <w:p w14:paraId="2E2D7884" w14:textId="77777777" w:rsidR="00556AF9" w:rsidRPr="00564268" w:rsidRDefault="00556AF9" w:rsidP="00556AF9">
      <w:pPr>
        <w:pStyle w:val="CaseCaption"/>
        <w:rPr>
          <w:bCs/>
          <w:color w:val="000000" w:themeColor="text1"/>
        </w:rPr>
      </w:pPr>
      <w:r>
        <w:t xml:space="preserve">PUC </w:t>
      </w:r>
      <w:r w:rsidRPr="00EF7381">
        <w:t>Docket</w:t>
      </w:r>
      <w:r w:rsidRPr="00D92C94">
        <w:t xml:space="preserve"> No</w:t>
      </w:r>
      <w:r w:rsidRPr="008647EB">
        <w:t>.</w:t>
      </w:r>
      <w:r>
        <w:t xml:space="preserve"> 54617 </w:t>
      </w:r>
    </w:p>
    <w:p w14:paraId="2175221E" w14:textId="77777777" w:rsidR="00556AF9" w:rsidRDefault="00556AF9" w:rsidP="00556AF9">
      <w:pPr>
        <w:pStyle w:val="CaseCaption"/>
      </w:pPr>
    </w:p>
    <w:p w14:paraId="25AA9B49" w14:textId="77777777" w:rsidR="00556AF9" w:rsidRPr="00057149" w:rsidRDefault="00556AF9" w:rsidP="00556AF9">
      <w:pPr>
        <w:pStyle w:val="CaseCaption"/>
        <w:rPr>
          <w:b w:val="0"/>
        </w:rPr>
      </w:pPr>
      <w:r w:rsidRPr="00057149">
        <w:t>CERTIFICATE OF SERVICE</w:t>
      </w:r>
    </w:p>
    <w:p w14:paraId="1D1416D0" w14:textId="78372F5E" w:rsidR="00556AF9" w:rsidRPr="00F55D87" w:rsidRDefault="00556AF9" w:rsidP="00556AF9">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2678CA">
        <w:rPr>
          <w:noProof/>
        </w:rPr>
        <w:t>August 23, 2024</w:t>
      </w:r>
      <w:r>
        <w:fldChar w:fldCharType="end"/>
      </w:r>
      <w:r w:rsidRPr="002F2221">
        <w:t xml:space="preserve">, in accordance with the </w:t>
      </w:r>
      <w:r>
        <w:t xml:space="preserve">Second </w:t>
      </w:r>
      <w:r w:rsidRPr="002F2221">
        <w:t xml:space="preserve">Order Suspending Rules, </w:t>
      </w:r>
      <w:r>
        <w:t>filed</w:t>
      </w:r>
      <w:r w:rsidRPr="002F2221">
        <w:t xml:space="preserve"> in Project No. 50664</w:t>
      </w:r>
      <w:r w:rsidRPr="005161D8">
        <w:t>.</w:t>
      </w:r>
      <w:r w:rsidRPr="00F55D87">
        <w:t xml:space="preserve"> </w:t>
      </w:r>
    </w:p>
    <w:p w14:paraId="26BBF47E" w14:textId="77777777" w:rsidR="00556AF9" w:rsidRPr="00057149" w:rsidRDefault="00556AF9" w:rsidP="00556AF9">
      <w:pPr>
        <w:overflowPunct w:val="0"/>
        <w:autoSpaceDE w:val="0"/>
        <w:autoSpaceDN w:val="0"/>
        <w:adjustRightInd w:val="0"/>
        <w:textAlignment w:val="baseline"/>
        <w:rPr>
          <w:color w:val="0D0D0D"/>
        </w:rPr>
      </w:pPr>
    </w:p>
    <w:p w14:paraId="139F51D4" w14:textId="77777777" w:rsidR="00556AF9" w:rsidRPr="00FD2904" w:rsidRDefault="00556AF9" w:rsidP="00556AF9">
      <w:pPr>
        <w:overflowPunct w:val="0"/>
        <w:autoSpaceDE w:val="0"/>
        <w:autoSpaceDN w:val="0"/>
        <w:adjustRightInd w:val="0"/>
        <w:ind w:left="4320"/>
        <w:jc w:val="left"/>
        <w:textAlignment w:val="baseline"/>
        <w:rPr>
          <w:u w:val="single"/>
        </w:rPr>
      </w:pPr>
      <w:r>
        <w:rPr>
          <w:u w:val="single"/>
        </w:rPr>
        <w:t xml:space="preserve">  /</w:t>
      </w:r>
      <w:r w:rsidRPr="00FD2904">
        <w:rPr>
          <w:u w:val="single"/>
        </w:rPr>
        <w:t xml:space="preserve">s/ </w:t>
      </w:r>
      <w:r w:rsidRPr="00C75004">
        <w:rPr>
          <w:i/>
          <w:iCs/>
          <w:u w:val="single"/>
        </w:rPr>
        <w:t>Kelsey Daugherty</w:t>
      </w:r>
      <w:r w:rsidRPr="00C75004">
        <w:rPr>
          <w:i/>
          <w:iCs/>
          <w:u w:val="single"/>
        </w:rPr>
        <w:tab/>
      </w:r>
      <w:r>
        <w:rPr>
          <w:u w:val="single"/>
        </w:rPr>
        <w:tab/>
      </w:r>
    </w:p>
    <w:p w14:paraId="6212F380" w14:textId="77777777" w:rsidR="00556AF9" w:rsidRPr="0082375E" w:rsidRDefault="00556AF9" w:rsidP="00556AF9">
      <w:pPr>
        <w:ind w:left="4320"/>
        <w:rPr>
          <w:snapToGrid w:val="0"/>
        </w:rPr>
      </w:pPr>
      <w:r>
        <w:rPr>
          <w:snapToGrid w:val="0"/>
        </w:rPr>
        <w:t>Kelsey Daugherty</w:t>
      </w:r>
    </w:p>
    <w:p w14:paraId="0C146C44" w14:textId="77777777" w:rsidR="00556AF9" w:rsidRPr="00704377" w:rsidRDefault="00556AF9" w:rsidP="00556AF9">
      <w:pPr>
        <w:jc w:val="left"/>
      </w:pPr>
    </w:p>
    <w:p w14:paraId="089A7CC9" w14:textId="77777777" w:rsidR="00374319" w:rsidRDefault="00374319"/>
    <w:sectPr w:rsidR="00374319" w:rsidSect="00556AF9">
      <w:headerReference w:type="default" r:id="rId8"/>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F6D05" w14:textId="77777777" w:rsidR="00556AF9" w:rsidRDefault="00556AF9" w:rsidP="00556AF9">
      <w:r>
        <w:separator/>
      </w:r>
    </w:p>
  </w:endnote>
  <w:endnote w:type="continuationSeparator" w:id="0">
    <w:p w14:paraId="2941E4D2" w14:textId="77777777" w:rsidR="00556AF9" w:rsidRDefault="00556AF9" w:rsidP="0055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1E0D8" w14:textId="77777777" w:rsidR="00556AF9" w:rsidRPr="00352C5E" w:rsidRDefault="00556AF9" w:rsidP="00556AF9">
    <w:pPr>
      <w:pStyle w:val="Footer"/>
      <w:rPr>
        <w:sz w:val="18"/>
        <w:szCs w:val="14"/>
      </w:rPr>
    </w:pPr>
    <w:r w:rsidRPr="00352C5E">
      <w:rPr>
        <w:sz w:val="18"/>
        <w:szCs w:val="14"/>
      </w:rPr>
      <w:t>SOAH Docket No. 473-24-13127.WS / PUC Docket No. 54617</w:t>
    </w:r>
  </w:p>
  <w:p w14:paraId="19BDB0CD" w14:textId="2D2847A2" w:rsidR="00556AF9" w:rsidRPr="00556AF9" w:rsidRDefault="00556AF9" w:rsidP="00556AF9">
    <w:pPr>
      <w:pStyle w:val="Footer"/>
      <w:rPr>
        <w:sz w:val="18"/>
        <w:szCs w:val="14"/>
      </w:rPr>
    </w:pPr>
    <w:r w:rsidRPr="00352C5E">
      <w:rPr>
        <w:sz w:val="18"/>
        <w:szCs w:val="14"/>
      </w:rPr>
      <w:t xml:space="preserve">Commission Staff’s </w:t>
    </w:r>
    <w:r>
      <w:rPr>
        <w:sz w:val="18"/>
        <w:szCs w:val="14"/>
      </w:rPr>
      <w:t>Reply</w:t>
    </w:r>
    <w:r w:rsidRPr="00352C5E">
      <w:rPr>
        <w:sz w:val="18"/>
        <w:szCs w:val="14"/>
      </w:rPr>
      <w:t xml:space="preserve"> Brief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8BE07" w14:textId="77777777" w:rsidR="00556AF9" w:rsidRDefault="00556AF9" w:rsidP="00556AF9">
      <w:r>
        <w:separator/>
      </w:r>
    </w:p>
  </w:footnote>
  <w:footnote w:type="continuationSeparator" w:id="0">
    <w:p w14:paraId="324E0DE0" w14:textId="77777777" w:rsidR="00556AF9" w:rsidRDefault="00556AF9" w:rsidP="00556AF9">
      <w:r>
        <w:continuationSeparator/>
      </w:r>
    </w:p>
  </w:footnote>
  <w:footnote w:id="1">
    <w:p w14:paraId="7DB92246" w14:textId="7444D583" w:rsidR="00C574CA" w:rsidRDefault="00C574CA" w:rsidP="00DF64D6">
      <w:pPr>
        <w:pStyle w:val="FootnoteText"/>
        <w:spacing w:after="120"/>
        <w:ind w:firstLine="720"/>
      </w:pPr>
      <w:r>
        <w:rPr>
          <w:rStyle w:val="FootnoteReference"/>
        </w:rPr>
        <w:footnoteRef/>
      </w:r>
      <w:r>
        <w:t xml:space="preserve">  TWU</w:t>
      </w:r>
      <w:r w:rsidR="00495CD2">
        <w:t xml:space="preserve"> Exhibit 6 at 4:17-21, 5:1-5</w:t>
      </w:r>
      <w:r w:rsidR="00DF64D6">
        <w:t>, Attachment BDB-R-2.</w:t>
      </w:r>
    </w:p>
  </w:footnote>
  <w:footnote w:id="2">
    <w:p w14:paraId="39B823FA" w14:textId="2DA1BE94" w:rsidR="0023727B" w:rsidRDefault="0023727B" w:rsidP="0023727B">
      <w:pPr>
        <w:pStyle w:val="FootnoteText"/>
        <w:spacing w:after="120"/>
        <w:ind w:firstLine="720"/>
      </w:pPr>
      <w:r>
        <w:rPr>
          <w:rStyle w:val="FootnoteReference"/>
        </w:rPr>
        <w:footnoteRef/>
      </w:r>
      <w:r>
        <w:t xml:space="preserve">  </w:t>
      </w:r>
      <w:r w:rsidRPr="0023727B">
        <w:rPr>
          <w:i/>
          <w:iCs/>
        </w:rPr>
        <w:t>See</w:t>
      </w:r>
      <w:r>
        <w:t xml:space="preserve"> Class A Rate Filing Package Instructions. </w:t>
      </w:r>
    </w:p>
  </w:footnote>
  <w:footnote w:id="3">
    <w:p w14:paraId="4FC070E0" w14:textId="46E5F9B4" w:rsidR="00FD798E" w:rsidRDefault="00FD798E" w:rsidP="00FD798E">
      <w:pPr>
        <w:pStyle w:val="FootnoteText"/>
        <w:spacing w:after="120"/>
        <w:ind w:firstLine="720"/>
      </w:pPr>
      <w:r>
        <w:rPr>
          <w:rStyle w:val="FootnoteReference"/>
        </w:rPr>
        <w:footnoteRef/>
      </w:r>
      <w:r>
        <w:t xml:space="preserve"> Texas Water Code (TWC) § 13.3011(b). </w:t>
      </w:r>
    </w:p>
  </w:footnote>
  <w:footnote w:id="4">
    <w:p w14:paraId="75B64ADE" w14:textId="11B08ABE" w:rsidR="004C516C" w:rsidRDefault="004C516C" w:rsidP="00F245A3">
      <w:pPr>
        <w:pStyle w:val="FootnoteText"/>
        <w:spacing w:after="120"/>
        <w:ind w:firstLine="720"/>
      </w:pPr>
      <w:r>
        <w:rPr>
          <w:rStyle w:val="FootnoteReference"/>
        </w:rPr>
        <w:footnoteRef/>
      </w:r>
      <w:r>
        <w:t xml:space="preserve">  Texas Water Utilities, L.P.’s </w:t>
      </w:r>
      <w:r w:rsidR="00A466A4">
        <w:t xml:space="preserve">(TWU) </w:t>
      </w:r>
      <w:r>
        <w:t>Initial Brief at 12 (Aug. 9, 2024)</w:t>
      </w:r>
      <w:r w:rsidR="00A466A4">
        <w:t xml:space="preserve"> (TWU’s Initial Brief)</w:t>
      </w:r>
      <w:r>
        <w:t>.</w:t>
      </w:r>
    </w:p>
  </w:footnote>
  <w:footnote w:id="5">
    <w:p w14:paraId="3DCF2BE2" w14:textId="6BF130C1" w:rsidR="0082504D" w:rsidRDefault="0082504D" w:rsidP="00F245A3">
      <w:pPr>
        <w:pStyle w:val="FootnoteText"/>
        <w:spacing w:after="120"/>
        <w:ind w:firstLine="720"/>
      </w:pPr>
      <w:r>
        <w:rPr>
          <w:rStyle w:val="FootnoteReference"/>
        </w:rPr>
        <w:footnoteRef/>
      </w:r>
      <w:r>
        <w:t xml:space="preserve">  Entex, a Div. of Reliant Energy Res. Corp. v. R.R. Comm’n of Texas, 18 S.W.3d 858, 865 (Tex. App.—Austin 2000, pet. denied). </w:t>
      </w:r>
    </w:p>
  </w:footnote>
  <w:footnote w:id="6">
    <w:p w14:paraId="53FB8F1B" w14:textId="17B418F2" w:rsidR="00D2720A" w:rsidRDefault="00D2720A" w:rsidP="00F245A3">
      <w:pPr>
        <w:pStyle w:val="FootnoteText"/>
        <w:spacing w:after="120"/>
        <w:ind w:firstLine="720"/>
      </w:pPr>
      <w:r>
        <w:rPr>
          <w:rStyle w:val="FootnoteReference"/>
        </w:rPr>
        <w:footnoteRef/>
      </w:r>
      <w:r>
        <w:t xml:space="preserve">  Preliminary Order at 3 (Mar. 7, 2024).</w:t>
      </w:r>
    </w:p>
  </w:footnote>
  <w:footnote w:id="7">
    <w:p w14:paraId="6818245C" w14:textId="3FF21CFA" w:rsidR="003110C1" w:rsidRDefault="003110C1" w:rsidP="00F245A3">
      <w:pPr>
        <w:pStyle w:val="FootnoteText"/>
        <w:spacing w:after="120"/>
        <w:ind w:firstLine="720"/>
      </w:pPr>
      <w:r>
        <w:rPr>
          <w:rStyle w:val="FootnoteReference"/>
        </w:rPr>
        <w:footnoteRef/>
      </w:r>
      <w:r>
        <w:t xml:space="preserve">  </w:t>
      </w:r>
      <w:r w:rsidR="00C113FB">
        <w:rPr>
          <w:i/>
          <w:iCs/>
        </w:rPr>
        <w:t>I</w:t>
      </w:r>
      <w:r w:rsidRPr="003110C1">
        <w:rPr>
          <w:i/>
          <w:iCs/>
        </w:rPr>
        <w:t>d</w:t>
      </w:r>
      <w:r>
        <w:t>.</w:t>
      </w:r>
    </w:p>
  </w:footnote>
  <w:footnote w:id="8">
    <w:p w14:paraId="072AF685" w14:textId="159F189E" w:rsidR="00A466A4" w:rsidRDefault="00A466A4" w:rsidP="00F245A3">
      <w:pPr>
        <w:pStyle w:val="FootnoteText"/>
        <w:spacing w:after="120"/>
        <w:ind w:firstLine="720"/>
      </w:pPr>
      <w:r>
        <w:rPr>
          <w:rStyle w:val="FootnoteReference"/>
        </w:rPr>
        <w:footnoteRef/>
      </w:r>
      <w:r>
        <w:t xml:space="preserve">  TWU’s Initial Brief at 13.</w:t>
      </w:r>
    </w:p>
  </w:footnote>
  <w:footnote w:id="9">
    <w:p w14:paraId="693F15E8" w14:textId="45EAF9EE" w:rsidR="00E109D6" w:rsidRDefault="00E109D6" w:rsidP="00C574CA">
      <w:pPr>
        <w:pStyle w:val="FootnoteText"/>
        <w:spacing w:after="120"/>
        <w:ind w:firstLine="720"/>
      </w:pPr>
      <w:r>
        <w:rPr>
          <w:rStyle w:val="FootnoteReference"/>
        </w:rPr>
        <w:footnoteRef/>
      </w:r>
      <w:r>
        <w:t xml:space="preserve">  </w:t>
      </w:r>
      <w:r w:rsidR="009B3782">
        <w:t>TWU Exhibit 5 at 8:6-22, 9:1-10.</w:t>
      </w:r>
    </w:p>
  </w:footnote>
  <w:footnote w:id="10">
    <w:p w14:paraId="3B290D66" w14:textId="634167BF" w:rsidR="00794CB4" w:rsidRDefault="00794CB4" w:rsidP="00794CB4">
      <w:pPr>
        <w:pStyle w:val="FootnoteText"/>
        <w:spacing w:after="120"/>
        <w:ind w:firstLine="720"/>
      </w:pPr>
      <w:r>
        <w:rPr>
          <w:rStyle w:val="FootnoteReference"/>
        </w:rPr>
        <w:footnoteRef/>
      </w:r>
      <w:r>
        <w:t xml:space="preserve">  Intervenor Initial Brief at 1-2 </w:t>
      </w:r>
      <w:r w:rsidR="00365522">
        <w:t xml:space="preserve">(Aug. 16, 2024) </w:t>
      </w:r>
      <w:r>
        <w:t>(Anna Miller’s Initial Brief).</w:t>
      </w:r>
    </w:p>
  </w:footnote>
  <w:footnote w:id="11">
    <w:p w14:paraId="4FA9679F" w14:textId="62D73B0E" w:rsidR="00E44D35" w:rsidRDefault="00E44D35" w:rsidP="00E44D35">
      <w:pPr>
        <w:pStyle w:val="FootnoteText"/>
        <w:spacing w:after="120"/>
        <w:ind w:firstLine="720"/>
      </w:pPr>
      <w:r>
        <w:rPr>
          <w:rStyle w:val="FootnoteReference"/>
        </w:rPr>
        <w:footnoteRef/>
      </w:r>
      <w:r>
        <w:t xml:space="preserve">  TWU’s Initial Brief at 19.</w:t>
      </w:r>
    </w:p>
  </w:footnote>
  <w:footnote w:id="12">
    <w:p w14:paraId="7640125B" w14:textId="0520078E" w:rsidR="000E6834" w:rsidRDefault="000E6834" w:rsidP="000E6834">
      <w:pPr>
        <w:pStyle w:val="FootnoteText"/>
        <w:spacing w:after="120"/>
        <w:ind w:firstLine="720"/>
      </w:pPr>
      <w:r>
        <w:rPr>
          <w:rStyle w:val="FootnoteReference"/>
        </w:rPr>
        <w:footnoteRef/>
      </w:r>
      <w:r>
        <w:t xml:space="preserve">  Staff Exhibit 2 at 4:12-13, 5:1-2.</w:t>
      </w:r>
    </w:p>
  </w:footnote>
  <w:footnote w:id="13">
    <w:p w14:paraId="3C52B9A6" w14:textId="5245C979" w:rsidR="007E4D58" w:rsidRDefault="007E4D58" w:rsidP="007E4D58">
      <w:pPr>
        <w:pStyle w:val="FootnoteText"/>
        <w:spacing w:after="120"/>
        <w:ind w:firstLine="720"/>
      </w:pPr>
      <w:r>
        <w:rPr>
          <w:rStyle w:val="FootnoteReference"/>
        </w:rPr>
        <w:footnoteRef/>
      </w:r>
      <w:r>
        <w:t xml:space="preserve">  </w:t>
      </w:r>
      <w:r w:rsidR="00C113FB">
        <w:rPr>
          <w:i/>
          <w:iCs/>
        </w:rPr>
        <w:t>I</w:t>
      </w:r>
      <w:r w:rsidRPr="007E4D58">
        <w:rPr>
          <w:i/>
          <w:iCs/>
        </w:rPr>
        <w:t>d</w:t>
      </w:r>
      <w:r>
        <w:t>. at 12:7-8.</w:t>
      </w:r>
    </w:p>
  </w:footnote>
  <w:footnote w:id="14">
    <w:p w14:paraId="64B010A2" w14:textId="03377A0D" w:rsidR="005D72D7" w:rsidRDefault="005D72D7" w:rsidP="005D72D7">
      <w:pPr>
        <w:pStyle w:val="FootnoteText"/>
        <w:spacing w:after="120"/>
        <w:ind w:firstLine="720"/>
      </w:pPr>
      <w:r>
        <w:rPr>
          <w:rStyle w:val="FootnoteReference"/>
        </w:rPr>
        <w:footnoteRef/>
      </w:r>
      <w:r>
        <w:t xml:space="preserve">  TWU Exhibits 7 and 8.  </w:t>
      </w:r>
    </w:p>
  </w:footnote>
  <w:footnote w:id="15">
    <w:p w14:paraId="36D0B4BA" w14:textId="3C25DFBF" w:rsidR="005860EA" w:rsidRDefault="005860EA" w:rsidP="005860EA">
      <w:pPr>
        <w:pStyle w:val="FootnoteText"/>
        <w:spacing w:after="120"/>
        <w:ind w:firstLine="720"/>
      </w:pPr>
      <w:r>
        <w:rPr>
          <w:rStyle w:val="FootnoteReference"/>
        </w:rPr>
        <w:footnoteRef/>
      </w:r>
      <w:r>
        <w:t xml:space="preserve">  Preliminary Order at 3.</w:t>
      </w:r>
    </w:p>
  </w:footnote>
  <w:footnote w:id="16">
    <w:p w14:paraId="3DC0FB53" w14:textId="4E96B17E" w:rsidR="00F245A3" w:rsidRDefault="00F245A3" w:rsidP="00F245A3">
      <w:pPr>
        <w:pStyle w:val="FootnoteText"/>
        <w:spacing w:after="120"/>
        <w:ind w:firstLine="720"/>
      </w:pPr>
      <w:r>
        <w:rPr>
          <w:rStyle w:val="FootnoteReference"/>
        </w:rPr>
        <w:footnoteRef/>
      </w:r>
      <w:r>
        <w:t xml:space="preserve">  Application of CSWR-Texas Utility Operating Company, LLC for Authority to Change Rates, Docket No. 54565, Order (Jun. 13, 2024).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ED8E1" w14:textId="6E9BBF9A" w:rsidR="00556AF9" w:rsidRPr="00556AF9" w:rsidRDefault="002678CA" w:rsidP="00556AF9">
    <w:pPr>
      <w:pStyle w:val="Header"/>
      <w:jc w:val="right"/>
      <w:rPr>
        <w:sz w:val="20"/>
        <w:szCs w:val="16"/>
      </w:rPr>
    </w:pPr>
    <w:sdt>
      <w:sdtPr>
        <w:rPr>
          <w:sz w:val="20"/>
          <w:szCs w:val="16"/>
        </w:rPr>
        <w:id w:val="-1318336367"/>
        <w:docPartObj>
          <w:docPartGallery w:val="Page Numbers (Top of Page)"/>
          <w:docPartUnique/>
        </w:docPartObj>
      </w:sdtPr>
      <w:sdtEndPr/>
      <w:sdtContent>
        <w:r w:rsidR="00556AF9" w:rsidRPr="0077084A">
          <w:rPr>
            <w:sz w:val="20"/>
            <w:szCs w:val="16"/>
          </w:rPr>
          <w:t xml:space="preserve">Page </w:t>
        </w:r>
        <w:r w:rsidR="00556AF9" w:rsidRPr="0077084A">
          <w:rPr>
            <w:b/>
            <w:bCs/>
            <w:sz w:val="20"/>
          </w:rPr>
          <w:fldChar w:fldCharType="begin"/>
        </w:r>
        <w:r w:rsidR="00556AF9" w:rsidRPr="0077084A">
          <w:rPr>
            <w:b/>
            <w:bCs/>
            <w:sz w:val="20"/>
            <w:szCs w:val="16"/>
          </w:rPr>
          <w:instrText xml:space="preserve"> PAGE </w:instrText>
        </w:r>
        <w:r w:rsidR="00556AF9" w:rsidRPr="0077084A">
          <w:rPr>
            <w:b/>
            <w:bCs/>
            <w:sz w:val="20"/>
          </w:rPr>
          <w:fldChar w:fldCharType="separate"/>
        </w:r>
        <w:r w:rsidR="00556AF9">
          <w:rPr>
            <w:b/>
            <w:bCs/>
            <w:sz w:val="20"/>
          </w:rPr>
          <w:t>7</w:t>
        </w:r>
        <w:r w:rsidR="00556AF9" w:rsidRPr="0077084A">
          <w:rPr>
            <w:b/>
            <w:bCs/>
            <w:sz w:val="20"/>
          </w:rPr>
          <w:fldChar w:fldCharType="end"/>
        </w:r>
        <w:r w:rsidR="00556AF9" w:rsidRPr="0077084A">
          <w:rPr>
            <w:sz w:val="20"/>
            <w:szCs w:val="16"/>
          </w:rPr>
          <w:t xml:space="preserve"> of </w:t>
        </w:r>
        <w:r w:rsidR="00556AF9" w:rsidRPr="0077084A">
          <w:rPr>
            <w:b/>
            <w:bCs/>
            <w:sz w:val="20"/>
          </w:rPr>
          <w:fldChar w:fldCharType="begin"/>
        </w:r>
        <w:r w:rsidR="00556AF9" w:rsidRPr="0077084A">
          <w:rPr>
            <w:b/>
            <w:bCs/>
            <w:sz w:val="20"/>
            <w:szCs w:val="16"/>
          </w:rPr>
          <w:instrText xml:space="preserve"> NUMPAGES  </w:instrText>
        </w:r>
        <w:r w:rsidR="00556AF9" w:rsidRPr="0077084A">
          <w:rPr>
            <w:b/>
            <w:bCs/>
            <w:sz w:val="20"/>
          </w:rPr>
          <w:fldChar w:fldCharType="separate"/>
        </w:r>
        <w:r w:rsidR="00556AF9">
          <w:rPr>
            <w:b/>
            <w:bCs/>
            <w:sz w:val="20"/>
          </w:rPr>
          <w:t>7</w:t>
        </w:r>
        <w:r w:rsidR="00556AF9" w:rsidRPr="0077084A">
          <w:rPr>
            <w:b/>
            <w:bCs/>
            <w:sz w:val="20"/>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95A5B"/>
    <w:multiLevelType w:val="hybridMultilevel"/>
    <w:tmpl w:val="17487DF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DC21965"/>
    <w:multiLevelType w:val="hybridMultilevel"/>
    <w:tmpl w:val="E1C6E7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115363E"/>
    <w:multiLevelType w:val="hybridMultilevel"/>
    <w:tmpl w:val="77E626C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C43747"/>
    <w:multiLevelType w:val="hybridMultilevel"/>
    <w:tmpl w:val="DEDADF8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208253B"/>
    <w:multiLevelType w:val="hybridMultilevel"/>
    <w:tmpl w:val="F1E0A9D6"/>
    <w:lvl w:ilvl="0" w:tplc="04090013">
      <w:start w:val="1"/>
      <w:numFmt w:val="upperRoman"/>
      <w:lvlText w:val="%1."/>
      <w:lvlJc w:val="righ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69082">
    <w:abstractNumId w:val="4"/>
  </w:num>
  <w:num w:numId="2" w16cid:durableId="268702945">
    <w:abstractNumId w:val="2"/>
  </w:num>
  <w:num w:numId="3" w16cid:durableId="803616813">
    <w:abstractNumId w:val="3"/>
  </w:num>
  <w:num w:numId="4" w16cid:durableId="371197231">
    <w:abstractNumId w:val="0"/>
  </w:num>
  <w:num w:numId="5" w16cid:durableId="535898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AF9"/>
    <w:rsid w:val="000467F9"/>
    <w:rsid w:val="000A7556"/>
    <w:rsid w:val="000B55E4"/>
    <w:rsid w:val="000E6834"/>
    <w:rsid w:val="001121E2"/>
    <w:rsid w:val="0023727B"/>
    <w:rsid w:val="00252D5B"/>
    <w:rsid w:val="002675DD"/>
    <w:rsid w:val="002678CA"/>
    <w:rsid w:val="002A0C99"/>
    <w:rsid w:val="003110C1"/>
    <w:rsid w:val="00365522"/>
    <w:rsid w:val="00374319"/>
    <w:rsid w:val="003B64D2"/>
    <w:rsid w:val="003D6141"/>
    <w:rsid w:val="00475E00"/>
    <w:rsid w:val="00495CD2"/>
    <w:rsid w:val="004C516C"/>
    <w:rsid w:val="004F0BAB"/>
    <w:rsid w:val="005151EF"/>
    <w:rsid w:val="005472CB"/>
    <w:rsid w:val="00556AF9"/>
    <w:rsid w:val="00563FE9"/>
    <w:rsid w:val="005860EA"/>
    <w:rsid w:val="005D72D7"/>
    <w:rsid w:val="00695831"/>
    <w:rsid w:val="006C0851"/>
    <w:rsid w:val="00767CF3"/>
    <w:rsid w:val="007911AC"/>
    <w:rsid w:val="00794CB4"/>
    <w:rsid w:val="007C5D66"/>
    <w:rsid w:val="007E3817"/>
    <w:rsid w:val="007E4D58"/>
    <w:rsid w:val="007F0D68"/>
    <w:rsid w:val="007F46A5"/>
    <w:rsid w:val="00812F33"/>
    <w:rsid w:val="0082504D"/>
    <w:rsid w:val="0085426B"/>
    <w:rsid w:val="008C4C59"/>
    <w:rsid w:val="008D3A71"/>
    <w:rsid w:val="009B3782"/>
    <w:rsid w:val="00A466A4"/>
    <w:rsid w:val="00A61BCB"/>
    <w:rsid w:val="00AF2A26"/>
    <w:rsid w:val="00B536D1"/>
    <w:rsid w:val="00B55D0F"/>
    <w:rsid w:val="00B9008B"/>
    <w:rsid w:val="00C056BB"/>
    <w:rsid w:val="00C113FB"/>
    <w:rsid w:val="00C307F0"/>
    <w:rsid w:val="00C44233"/>
    <w:rsid w:val="00C574CA"/>
    <w:rsid w:val="00CE2708"/>
    <w:rsid w:val="00CE5575"/>
    <w:rsid w:val="00D2720A"/>
    <w:rsid w:val="00D63817"/>
    <w:rsid w:val="00DF64D6"/>
    <w:rsid w:val="00E109D6"/>
    <w:rsid w:val="00E179BF"/>
    <w:rsid w:val="00E36726"/>
    <w:rsid w:val="00E44D35"/>
    <w:rsid w:val="00F245A3"/>
    <w:rsid w:val="00F30DAF"/>
    <w:rsid w:val="00F35D13"/>
    <w:rsid w:val="00F62236"/>
    <w:rsid w:val="00F912ED"/>
    <w:rsid w:val="00FB3B48"/>
    <w:rsid w:val="00FC3AAF"/>
    <w:rsid w:val="00FD7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F345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AF9"/>
    <w:pPr>
      <w:ind w:firstLine="0"/>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6AF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Caption">
    <w:name w:val="Case Caption"/>
    <w:basedOn w:val="Normal"/>
    <w:next w:val="Normal"/>
    <w:link w:val="CaseCaptionChar"/>
    <w:qFormat/>
    <w:rsid w:val="00556AF9"/>
    <w:pPr>
      <w:keepNext/>
      <w:spacing w:after="240"/>
      <w:contextualSpacing/>
      <w:jc w:val="center"/>
    </w:pPr>
    <w:rPr>
      <w:b/>
      <w:caps/>
      <w:szCs w:val="24"/>
    </w:rPr>
  </w:style>
  <w:style w:type="character" w:customStyle="1" w:styleId="CaseCaptionChar">
    <w:name w:val="Case Caption Char"/>
    <w:link w:val="CaseCaption"/>
    <w:rsid w:val="00556AF9"/>
    <w:rPr>
      <w:rFonts w:ascii="Times New Roman" w:eastAsia="Times New Roman" w:hAnsi="Times New Roman" w:cs="Times New Roman"/>
      <w:b/>
      <w:caps/>
      <w:kern w:val="0"/>
      <w:sz w:val="24"/>
      <w:szCs w:val="24"/>
      <w14:ligatures w14:val="none"/>
    </w:rPr>
  </w:style>
  <w:style w:type="paragraph" w:customStyle="1" w:styleId="Paragraph">
    <w:name w:val="Paragraph"/>
    <w:basedOn w:val="Normal"/>
    <w:qFormat/>
    <w:rsid w:val="00556AF9"/>
    <w:pPr>
      <w:spacing w:line="360" w:lineRule="auto"/>
      <w:ind w:firstLine="720"/>
    </w:pPr>
    <w:rPr>
      <w:szCs w:val="24"/>
    </w:rPr>
  </w:style>
  <w:style w:type="paragraph" w:styleId="ListParagraph">
    <w:name w:val="List Paragraph"/>
    <w:basedOn w:val="Normal"/>
    <w:uiPriority w:val="34"/>
    <w:qFormat/>
    <w:rsid w:val="00556AF9"/>
    <w:pPr>
      <w:ind w:left="720"/>
      <w:contextualSpacing/>
    </w:pPr>
  </w:style>
  <w:style w:type="character" w:customStyle="1" w:styleId="Heading1Char">
    <w:name w:val="Heading 1 Char"/>
    <w:basedOn w:val="DefaultParagraphFont"/>
    <w:link w:val="Heading1"/>
    <w:uiPriority w:val="9"/>
    <w:rsid w:val="00556AF9"/>
    <w:rPr>
      <w:rFonts w:asciiTheme="majorHAnsi" w:eastAsiaTheme="majorEastAsia" w:hAnsiTheme="majorHAnsi" w:cstheme="majorBidi"/>
      <w:color w:val="2F5496" w:themeColor="accent1" w:themeShade="BF"/>
      <w:kern w:val="0"/>
      <w:sz w:val="32"/>
      <w:szCs w:val="32"/>
      <w14:ligatures w14:val="none"/>
    </w:rPr>
  </w:style>
  <w:style w:type="paragraph" w:styleId="TOCHeading">
    <w:name w:val="TOC Heading"/>
    <w:basedOn w:val="Heading1"/>
    <w:next w:val="Normal"/>
    <w:uiPriority w:val="39"/>
    <w:unhideWhenUsed/>
    <w:qFormat/>
    <w:rsid w:val="00556AF9"/>
    <w:pPr>
      <w:spacing w:line="259" w:lineRule="auto"/>
      <w:jc w:val="left"/>
      <w:outlineLvl w:val="9"/>
    </w:pPr>
  </w:style>
  <w:style w:type="paragraph" w:styleId="TOC2">
    <w:name w:val="toc 2"/>
    <w:basedOn w:val="Normal"/>
    <w:next w:val="Normal"/>
    <w:autoRedefine/>
    <w:uiPriority w:val="39"/>
    <w:unhideWhenUsed/>
    <w:rsid w:val="00556AF9"/>
    <w:pPr>
      <w:spacing w:after="100" w:line="259" w:lineRule="auto"/>
      <w:jc w:val="left"/>
    </w:pPr>
    <w:rPr>
      <w:rFonts w:asciiTheme="minorHAnsi" w:eastAsiaTheme="minorEastAsia" w:hAnsiTheme="minorHAnsi"/>
      <w:b/>
      <w:bCs/>
      <w:sz w:val="22"/>
      <w:szCs w:val="22"/>
    </w:rPr>
  </w:style>
  <w:style w:type="paragraph" w:styleId="TOC1">
    <w:name w:val="toc 1"/>
    <w:basedOn w:val="Normal"/>
    <w:next w:val="Normal"/>
    <w:autoRedefine/>
    <w:uiPriority w:val="39"/>
    <w:unhideWhenUsed/>
    <w:rsid w:val="00556AF9"/>
    <w:pPr>
      <w:spacing w:after="100" w:line="259" w:lineRule="auto"/>
      <w:jc w:val="left"/>
    </w:pPr>
    <w:rPr>
      <w:rFonts w:asciiTheme="minorHAnsi" w:eastAsiaTheme="minorEastAsia" w:hAnsiTheme="minorHAnsi"/>
      <w:sz w:val="22"/>
      <w:szCs w:val="22"/>
    </w:rPr>
  </w:style>
  <w:style w:type="paragraph" w:styleId="TOC3">
    <w:name w:val="toc 3"/>
    <w:basedOn w:val="Normal"/>
    <w:next w:val="Normal"/>
    <w:autoRedefine/>
    <w:uiPriority w:val="39"/>
    <w:unhideWhenUsed/>
    <w:rsid w:val="00556AF9"/>
    <w:pPr>
      <w:spacing w:after="100" w:line="259" w:lineRule="auto"/>
      <w:ind w:left="440"/>
      <w:jc w:val="left"/>
    </w:pPr>
    <w:rPr>
      <w:rFonts w:asciiTheme="minorHAnsi" w:eastAsiaTheme="minorEastAsia" w:hAnsiTheme="minorHAnsi"/>
      <w:sz w:val="22"/>
      <w:szCs w:val="22"/>
    </w:rPr>
  </w:style>
  <w:style w:type="paragraph" w:customStyle="1" w:styleId="Paragraphdouble">
    <w:name w:val="Paragraph double"/>
    <w:basedOn w:val="Normal"/>
    <w:rsid w:val="00556AF9"/>
    <w:pPr>
      <w:keepNext/>
      <w:spacing w:after="120" w:line="480" w:lineRule="auto"/>
      <w:ind w:firstLine="720"/>
      <w:outlineLvl w:val="3"/>
    </w:pPr>
    <w:rPr>
      <w:szCs w:val="24"/>
    </w:rPr>
  </w:style>
  <w:style w:type="paragraph" w:styleId="Header">
    <w:name w:val="header"/>
    <w:basedOn w:val="Normal"/>
    <w:link w:val="HeaderChar"/>
    <w:uiPriority w:val="99"/>
    <w:unhideWhenUsed/>
    <w:rsid w:val="00556AF9"/>
    <w:pPr>
      <w:tabs>
        <w:tab w:val="center" w:pos="4680"/>
        <w:tab w:val="right" w:pos="9360"/>
      </w:tabs>
    </w:pPr>
  </w:style>
  <w:style w:type="character" w:customStyle="1" w:styleId="HeaderChar">
    <w:name w:val="Header Char"/>
    <w:basedOn w:val="DefaultParagraphFont"/>
    <w:link w:val="Header"/>
    <w:uiPriority w:val="99"/>
    <w:rsid w:val="00556AF9"/>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56AF9"/>
    <w:pPr>
      <w:tabs>
        <w:tab w:val="center" w:pos="4680"/>
        <w:tab w:val="right" w:pos="9360"/>
      </w:tabs>
    </w:pPr>
  </w:style>
  <w:style w:type="character" w:customStyle="1" w:styleId="FooterChar">
    <w:name w:val="Footer Char"/>
    <w:basedOn w:val="DefaultParagraphFont"/>
    <w:link w:val="Footer"/>
    <w:uiPriority w:val="99"/>
    <w:rsid w:val="00556AF9"/>
    <w:rPr>
      <w:rFonts w:ascii="Times New Roman" w:eastAsia="Times New Roman" w:hAnsi="Times New Roman" w:cs="Times New Roman"/>
      <w:kern w:val="0"/>
      <w:sz w:val="24"/>
      <w:szCs w:val="20"/>
      <w14:ligatures w14:val="none"/>
    </w:rPr>
  </w:style>
  <w:style w:type="paragraph" w:styleId="FootnoteText">
    <w:name w:val="footnote text"/>
    <w:basedOn w:val="Normal"/>
    <w:link w:val="FootnoteTextChar"/>
    <w:uiPriority w:val="99"/>
    <w:semiHidden/>
    <w:unhideWhenUsed/>
    <w:rsid w:val="004C516C"/>
    <w:rPr>
      <w:sz w:val="20"/>
    </w:rPr>
  </w:style>
  <w:style w:type="character" w:customStyle="1" w:styleId="FootnoteTextChar">
    <w:name w:val="Footnote Text Char"/>
    <w:basedOn w:val="DefaultParagraphFont"/>
    <w:link w:val="FootnoteText"/>
    <w:uiPriority w:val="99"/>
    <w:semiHidden/>
    <w:rsid w:val="004C516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4C516C"/>
    <w:rPr>
      <w:vertAlign w:val="superscript"/>
    </w:rPr>
  </w:style>
  <w:style w:type="paragraph" w:styleId="Revision">
    <w:name w:val="Revision"/>
    <w:hidden/>
    <w:uiPriority w:val="99"/>
    <w:semiHidden/>
    <w:rsid w:val="00252D5B"/>
    <w:pPr>
      <w:ind w:firstLine="0"/>
      <w:jc w:val="left"/>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52D5B"/>
    <w:rPr>
      <w:sz w:val="16"/>
      <w:szCs w:val="16"/>
    </w:rPr>
  </w:style>
  <w:style w:type="paragraph" w:styleId="CommentText">
    <w:name w:val="annotation text"/>
    <w:basedOn w:val="Normal"/>
    <w:link w:val="CommentTextChar"/>
    <w:uiPriority w:val="99"/>
    <w:unhideWhenUsed/>
    <w:rsid w:val="00252D5B"/>
    <w:rPr>
      <w:sz w:val="20"/>
    </w:rPr>
  </w:style>
  <w:style w:type="character" w:customStyle="1" w:styleId="CommentTextChar">
    <w:name w:val="Comment Text Char"/>
    <w:basedOn w:val="DefaultParagraphFont"/>
    <w:link w:val="CommentText"/>
    <w:uiPriority w:val="99"/>
    <w:rsid w:val="00252D5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52D5B"/>
    <w:rPr>
      <w:b/>
      <w:bCs/>
    </w:rPr>
  </w:style>
  <w:style w:type="character" w:customStyle="1" w:styleId="CommentSubjectChar">
    <w:name w:val="Comment Subject Char"/>
    <w:basedOn w:val="CommentTextChar"/>
    <w:link w:val="CommentSubject"/>
    <w:uiPriority w:val="99"/>
    <w:semiHidden/>
    <w:rsid w:val="00252D5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65182F7A124290A17A5A9F322B0D36"/>
        <w:category>
          <w:name w:val="General"/>
          <w:gallery w:val="placeholder"/>
        </w:category>
        <w:types>
          <w:type w:val="bbPlcHdr"/>
        </w:types>
        <w:behaviors>
          <w:behavior w:val="content"/>
        </w:behaviors>
        <w:guid w:val="{88A4ABA5-C16B-4454-ADD2-CE152894C984}"/>
      </w:docPartPr>
      <w:docPartBody>
        <w:p w:rsidR="002509DC" w:rsidRDefault="002509DC" w:rsidP="002509DC">
          <w:pPr>
            <w:pStyle w:val="7465182F7A124290A17A5A9F322B0D36"/>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9DC"/>
    <w:rsid w:val="00250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09DC"/>
    <w:rPr>
      <w:color w:val="808080"/>
    </w:rPr>
  </w:style>
  <w:style w:type="paragraph" w:customStyle="1" w:styleId="7465182F7A124290A17A5A9F322B0D36">
    <w:name w:val="7465182F7A124290A17A5A9F322B0D36"/>
    <w:rsid w:val="002509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94FF7-138E-4687-8DF1-512BD8F06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1804</Words>
  <Characters>10287</Characters>
  <Application>Microsoft Office Word</Application>
  <DocSecurity>0</DocSecurity>
  <Lines>85</Lines>
  <Paragraphs>24</Paragraphs>
  <ScaleCrop>false</ScaleCrop>
  <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2024-08-23T15:04:00Z</dcterms:created>
  <dcterms:modified xsi:type="dcterms:W3CDTF">2024-08-23T18:05:00Z</dcterms:modified>
</cp:coreProperties>
</file>